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Carmen Julibert Ortega.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Manuel Muniesa Marín presentó en este Tribunal el día 15 de julio de 1986 escrito por el que, en nombre de doña Carmen Julibert Ortega, interpone recurso de amparo constitucional contra la Sentencia de la Audiencia Provincial de Tarragona de 25 de junio de 1986, por estimar que dicha resolución ha vulnerado el derecho consagrado en el art. 24 C.E. a obtener la tutela efectiva de los Jueces y Tribunales, sin que en ningún caso pueda producirse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resumidamente, lo que sigue: La ahora recurrente en amparo presentó el 29 de junio de 1985 demanda de juicio declarativo de menor cuantía contra doña Nuria Trías, sobre acción declaratoria de dominio y subsiguiente cancelación de inscripción registral, en relación con la supuesta apropiación de una superficie de terreno de 190 metros cuadrados, siendo estimada en parte por Sentencia de 13 de mayo de 1986, contra la que la actora señora Julibert interpuso recurso de apelación ante la Audiencia Territorial de Barcelona, recurso que en la actualidad se encuentra en trámite. La demandada en el anterior procedimiento formuló el 7 de noviembre de 1985 demanda con arreglo al procedimiento sumario del art. 41 de la Ley Hipotecaria contra varias personas, entre las que figura la hoy recurrente, la cual alegó la excepción de litis pendencia y se opuso a la demanda.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 21 de marzo de 1986, dictada en Auto 500/1985 por el Juzgado de Primera Instancia núm. 1 de Tarragona absolvió a los demandados, desestimando la demanda por carencia, por parte de la actora, de título registral que la legitime para el ejercicio de la acción al amparo del art. 41 de la Ley Hipotecaria. Recurrida en apelación la anterior Sentencia, la Audiencia Provincial de Tarragona dictó la Sentencia de 21 de junio de 1986, ahora recurrida en amparo, con revocación de la resolución del Juez a quo, estimando totalmente la demanda y declarando haber lugar a la acción ejercitada al amparo del art. 41 de la Ley Hipotecaria, junto con otros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hoy recurrente en amparo que la Sentencia de la Audiencia Territorial que se impugna incurre en incongruencia y ha provocado la indefensión jurídica de la interesada, por lo que solicita su nulidad. Reitera su criterio de la existencia de litis pendencia al darse entre las demandas formuladas por ambas partes un idéntico contenido fundado en la titularidad de una finca inscrita en el Registro de la Propiedad de Tarragona, siendo las partes litigantes las mismas, por lo que de producirse una ejecución de la Sentencia dictada en el procedimiento sumario derivado del art. 41 de la Ley Hipotecaria podría llegar a contradecir lo que en su día exponga la resolución pendiente de la Audiencia Territorial de Barcelona, produciéndose, por tanto, una confusión de derechos y de acciones que originaría la indefensión de la demandante de amparo. Por otra parte, la anotación preventiva de demanda, enerva la posibilidad de que se ejercite la acción del art. 41 de la Ley Hipotecaria puesto que no cabe afirmar que se dé la vigencia, sin contradicción alguna, del asiento registral. Pide la anulación de la Sentencia impugnada cuya ejecución también solicita, en el cuerpo del escrito, que se suspenda.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8 de octubre la Sección Segunda puso de manifiesto la posible existencia de la causa de inadmisión a que se refiere el art. 50.2 b) LOTC, por falta manifiesta de contenido constitucional de la demanda. Dentro del plazo concedido al efecto, alega la representación de la recurrente que el contenido constitucional de la demanda es manifiesto, puesto que se ha violado el derecho constitucional de la recurrente al dictar Sentencia en un procedimiento ejecutivo seguido según el art. 41 de la Ley Hipotecaria, sin tener en cuenta la excepción de litis pendencia. En su opinión, el juicio declarativo iniciado por la actora queda incluido en las previsiones del art. 38.2 de la Ley Hipotecaria y, por tanto, no se da el requisito imprescindible establecido en el art. 41 de la misma, para dar lugar al procedimiento ejecutivo, es decir, la vigencia sin contradicción del asiento correspondiente.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su parte, entiende que el problema suscitado por el recurrente no guarda conexión alguna con el derecho a la tutela judicial efectiva, puesto que el objeto de su pretensión ante la jurisdicción ordinaria ha sido examinado por ésta que ha dado una respuesta fundada en derecho frente a la excepción de litis pendencia que de nuevo se intenta traer ante este Tribunal. Señala, igualmente, el Ministerio Fiscal que, de otra parte, la contradicción entre la Sentencia ya producida y la que en su día pudiera poner término al juicio declarativo sólo se producirá, si llega a producirse, cuando esta última sentencia sea dictada, de modo que todas las consideraciones que sobre tal contradicción pudieran hacerse, resultan perfectamente ociosas.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muy reiteradamente hemos dicho, el derecho a la tutela judicial efectiva no es ni el derecho a obtener Sentencias justas ni el derecho a obtener Sentencias libres de error en materia de hecho o en materia de Derecho. Que la una cosa y la otra, esto es, la obtención de Sentencias justas y la evitación de errores por parte de los Jueces, sean finalidades deseables y objetivos de todo nuestro ordenamiento jurídico, es cosa fuera de toda duda, pero esto no quiere decir, en modo alguno, que sea el Tribunal Constitucional la institución destinada a asegurar tales finalidades y el recurso de amparo frente a supuestas lesiones del derecho a la tutela judicial efectiva, el camino para conseguirlas. Este derecho, en efecto, se satisface cuando se obtiene de los Tribunales una decisión razonada en Derecho, cuya adecuación o inadecuación a los hechos que dan origen al juicio no puede ser controlada por este Tribunal, que tampoco puede revisar la interpretación que los Jueces hacen de la legalidad ordinaria en cuanto que tal interpretación no lesione un derecho fundamental sustantivo.  Manifiestamente no hay lesión ninguna de este género en el presente caso, pues la interpretación que los Tribunales ordinarios han hecho de los arts. 38 y 41 de la Ley Hipotecaria, si fuera incorrecta (hipótesis que el recurrente en amparo formula sin otro apoyo que el de la discrepancia entre tal interpretación y la que él mismo hace de dichos preceptos), no sería contraria a ninguno de los mencionados derechos sustantivos.  Es patente, por tanto, la manifiesta carencia de contenido constitucional de la demanda que por ello debe ser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decisión que le excusa de dictar ningún pronunciamiento sobre la petición de suspensión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