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Provincial de Santa Cruz de Tenerife, en su recurso 181/85, planteó la presente cuestión de inconstitucionalidad, admitida a trámite por providencia de 12 de diciembre de 1986, de la Sección Tercera del Pleno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infringir los artículos 9.3 y 137.7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distintas Audiencias,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 1985, por darse los presupuestos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956, 1019, 1033, 1061, 1088, 1139, 1159, 1177, 1178, 1182, 1203, 1204 y 1205 de 1985, y 75, 76, 77, 78, 79, 80, 81, 93, 94, 95, 145, 146, 246, 248, 311, 424, 432, 433, 434, 455, 459, 460, 475, 550, 568, 572, 644, 664, 698, 718, 753, 754, 864, 865, 929, 993, 1082, 1094, 1115, 1116, 1117, 1118, 1119, 1190 y 1236 de 1986, el Tribunal acordó no acceder a la acumulación solicitada y decidio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presentado el 22 de diciembre de 1986, en solicitud de que se suspenda la tramitación de la presente cuestión hasta que recaiga sentencia en las varias acumuladas que están en trámite.</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presentado el 12 de enero último y solicita, por medio de otrosí, que se suspenda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