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mayo de 1986 tuvo entrada en este Tribunal Constitucional escrito de don Jesús Mª López Sesma manifestando su voluntad de interponer recurso de amparo contra la Sentencia de la Sala Segunda del Tribunal Supremo, de 25 de abril de 1986, recaída en recurso de casación contra otra dictada por la Audiencia Provincial de Palencia en causa por presun—tos delitos de robo y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 que le fueron Abogado y Procurador del turno de oficio, los nombrados formalizaron las correspondientes demanda de amparo y de justicia gratuita, formándose, para sustanciar la segunda, la correspondiente pieza separada en la que el Ministerio Fiscal ha mostrado su conformidad a la concesión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recurrente ha gozado del beneficio de justicia gratuita en el proceso judicial previo, por lo que se halla en el supuesto previsto en el artículo 2º de las Normas acerca de la defensa por pobre en los procesos constitucionales, aprobadas por Acuerdo del Pleno de este Tribunal de 20 de diciembre de 1982, publicado en el Boletín Oficial del Estado del 9 de febrero 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don Jesús Mª López Sesma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