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13 de mayo de 1985 la Sala de lo Contencioso-Administrativo de la Audiencia Territorial de Valencia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31 de mayo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de 1985 la Sección 4ª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gue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mediante escrito de 17 de junio de 1985,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El Fiscal General del Estado por escrito de 18 de junio de 1985, y a la vista de las numerosas cuestiones de inconstitucionalidad planteadas sobre el mismo punto, solicitó que se le tuviera por personado, que se tuvieran por reproducidas las alegaciones formuladas en la cuestión 316/85, que se dictara Sentencia declarando que el art. 13.1 de la Ley 24 de 21 de diciembre de 1983 no es inconstitucional, y, gue se acumulara a las que se encontraban en trámite con el mismo objeto.</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18 de junio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Senado, por su parte, manifestó que se le tuviera por personado mediante escrito de 19 de junio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17 de octubre de 1985, y pese a la conexión objetiva que la cuestión propuesta tenía con otras que se estaban tramitando, se acordó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quede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13 de mayo de 1985 nos planteaba la Sala de lo Contencioso-Administrativo de la Audiencia Territorial de Valencia.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