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28 de octubre de 1986 la Sala de lo Contencioso-Administrativo de la Audiencia Territorial de Valencia acordó plantear Cuestión de Inconstitucionalidad del artículo 13, párrafos primero y tercero, de la Ley 24/1983 de 21 de diciembre de Medidas Urgentes de Saneamiento y Regulación de las Haciendas Locales. El planteamiento de la cuestión de inconstitucionalidad mencionada tuvo entrada en este Tribunal el día 13 de noviembre de 1986,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noviembre de 1986 la Sección la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por escrito de 9 de diciembre de 1986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Fiscal General del Estado por escrito de 11 de diciembre de 1986, y a la vista de las numerosas cuestiones de inconstitucionalidad planteadas sobre el mismo punto, solicitó que se le tuviera por personado y que se suspendiera la tramitación de la cuestión hasta que recayera Sentencia en alguna de las ya propuestas.</w:t>
      </w:r>
    </w:p>
    <w:p w:rsidRPr="00C21FFE" w:rsidR="00AD51A7" w:rsidRDefault="008777C4">
      <w:pPr>
        <w:rPr/>
      </w:pPr>
      <w:r w:rsidRPr="&lt;w:rPr xmlns:w=&quot;http://schemas.openxmlformats.org/wordprocessingml/2006/main&quot;&gt;&lt;w:lang w:val=&quot;es-ES_tradnl&quot; /&gt;&lt;/w:rPr&gt;">
        <w:rPr/>
        <w:t xml:space="preserve">El Presidente del Senado, por su parte, manifestó que se le tuviera por personado mediante escrito de 11 de diciembre de 1986,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Letrado del Estado, mediante escrito de 19 de diciembre, y en función de una interpretación del principio de legalidad en materia tributaria mucho menos estricta de la que rige en el campo penal, termina solicitando que se dicte Sentencia declarando la conformidad con la Constitución del artículo 13 de la Ley 24 de 21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22 de enero de 1987, y pese a la conexión objetiva que la cuestión propuesta tenía con otras que se estaban tramitando, se acordó suspender la tramitación de la cuestión hasta tanto recayera Sentencia en alguna de las ya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Auto de la Sala de Valencia, que plantea la cuestión de inconstitucionalidad que se examina, alcanza al párrafo primero y tercero del artículo 13 de la Ley 24/1983. Las determinaciones contenidas en el párrafo tercero no quedan afectadas por la fundamentación del auto de remisión. Se limita así la cuestión exclusivamente a lo previsto en el nº 1 del referido artículo 13, pues nada dice el auto de remisión sobre la conformidad o disconformidad con la Constitución de lo prevenido en el tercer apartado del mismo precepto legal, sin que sea posible, por lo demás, apreciar la relevancia de una hipotética duda de constitucionalidad de tal apartado, en el proceso del que la cuestión deriva. Por ello, este proceso constitucional tiene por objeto enjuiciar la constitucionalidad de la norma contenida en el apartado 1º del artículo 13 de la tantas veces mencionada Ley 24/1983.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Haciedas Locales, declaración que afecta a tal precepto en su enunciado y no en una interpretación determinada del mismo, es claro que ese precepto ha quedado privado de todo efecto. Esta decisión y su necesaria consecuencia priva así de objeto la cuestión que en su auto de 28 de octubre de 1986 nos planteaba la Sala de lo Contencioso-Administrativo de la Audiencia Territorial de Valencia.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