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24 de octubre de 1986 la Sala de lo Contencioso-Administrativo de la Audiencia Territorial de Valladolid acordó plantear Cuestión de Inconstitucionalidad del artículo 13.1 de la Ley 24/1983, de 21 de diciembre, de Me didas Urgentes de Saneamiento y Regulación de las Haciendas Locales. El planteamiento de la cuestión de Inconstitucionalidad mencionada tuvo entrada en este Tribunal el día 2 de diciembre de 1986,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diciembre de 1986 la Sección 23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puedieran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por escrito de 17 de diciembre de 1986, y a la vista de las numerosas cuestiones de inconstitucionalidad planteadas sobre el mismo punto, solicitó que se le tuviera por personado y que se suspendiera la tramitación de la Cuestión hasta que recayera Sentencia en alguna de las ya propuestas.</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23 de diciembre de 1986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Presidente del Senado, por su parte, manifiesto que se le tuviera por personado mediante escrito de 22 de diciembre de 1986,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Letrado del Estado, mediante escrito de 3 de enero de 1987, y en función de una interpretación del principio de legalidad en materia tributaria mucho menos estricta de la que rige en el campo penal, termina solicitando que se dicte Sentencia declarando la conformidad con la Constitución del artículo 13 de la Ley 24 de 21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5 de febrero de 1987, y pese a la conexión objetiva que la cuestión propuesta tenía con otras que se estaban tramitando, se acordó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24 de octubre de 1986, nos planteaba la Sala de lo Contencioso-Administrativo de la Audiencia Territorial de Valladolid.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