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Burgos, en su recurso 453/85, planteó la presente cuestión de inconstitucionalidad, admitida a trámite por providencia de 11 de febrero de 1987, de la Sección Cuarta del Pleno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9.3, 31.3, 133.1 y 134.7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distintas Audiencias,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 Pleno de 16 de julio de 1985,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956, 1019, 1033, 1061, 1088, 1139, 1159, 1177, 1178, 1182, 1203, 1204 y 1205 de 1985, y 75, 76, 77, 78, 79, 80, 81, 93, 94, 95, 145, 146, 246, 248, 311, 424, 432, 433, 434, 455, 459,460, 475, 550, 568, 572, 644, 664, 698, 718, 753, 754, 864, 865, 929, 993, 1082, 1094, 1115, 1116, 1117, 1118, 1119, 1190, 1236, 1249 y 1303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Letrado del Estado se persona mediante escrito presentado el 26 de febrero último en el que solicita que, se dicte sentencia en su día por la que se declare la plena constitucionalidad de la Disposición Adicional 6ª.3 de la Ley 5/1983, de 29 de junio.</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de 26 de febrero último, en solicitud de que se suspenda la tramitación de la presente cuestión hasta que recaiga sentencia en las varias acumuladas que están en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