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noviembre de 1986 tuvo entrada en este Tribunal Constitucional la demanda de amparo interpuesta por don Mario Pérez Lombardia, representado por la Procuradora doña María Jesús González Diez, contra la sentencia del Juzgado de Instrucción número 10 de Barcelona (Pto. Monitorio 139,85), de 22 de abril de 1986 y la sentencia de la Audiencia Provincial de Barcelona (Rollo de apelación número 84/86), de 28 de octubre de 1986, que desestimó el recurso de apelación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Juzgado de Instrucción número 10 de Barcelona, de 22 de abril de 1986, condenó al recurrente como autor responsable de un delito de utilización ilegítima de vehículo de motor ajeno (artículo 516.bis, 1º, 2º y 5º del Código Penal). De acuerdo con los hechos probados el acusado se "apoderó, tras forzar la cerradura, del turismo Seat 600 matrícula B-860.244 que su propietaria Antonia García Andreu había dejado estacionado en el Paseo Once de Septiembre y tras desbloquear el volante y hacer el puente se apoderó de éste con afán de utilizarlo hasta que fue detenido".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condenado apeló esta sentencia y su recurso fue rechazado por la Sección Quinta de la Audiencia Provincial de Barcelona mediante la dictada el 28 de octubre de 1986. En la fundamentación del recurso el recurrente cuestionó la insuficiencia de la prueba para desvirtuar la presunción de inocencia. Por el contrario, la Audiencia Provincial sostuvo que "el material probatorio de la primera instancia del proceso (sorprendimiento del acusado por policías de la guardia urbana cuando en el interior del vehículo sustraído horas antes, manipulaba los cables de ignición o contacto para ponerlo en marcha, identificación de dicho acusado por los policías mediante la exhibición de su Documento Nacional de Identidad y, por último, veloz huida en carrera del mismo cuando los funcionarios estaban cacheándole luego del examen de dicho documento e iban a proceder a su detención) es suficiente para formar, como formó, la convicción del juez a quo sobre los hechos que declara probados y es suficiente, también, para formar una convicción coincidente de esta Sala".</w:t>
      </w:r>
    </w:p>
    <w:p w:rsidRPr="00C21FFE" w:rsidR="00AD51A7" w:rsidRDefault="008777C4">
      <w:pPr>
        <w:rPr/>
      </w:pPr>
      <w:r w:rsidRPr="&lt;w:rPr xmlns:w=&quot;http://schemas.openxmlformats.org/wordprocessingml/2006/main&quot;&gt;&lt;w:lang w:val=&quot;es-ES_tradnl&quot; /&gt;&lt;/w:rPr&gt;">
        <w:rPr/>
        <w:t xml:space="preserve">La Audiencia entendió, además, que dichos hechos probados eran también suficientes para tener al delito por consumado, pues aunque no se hubiera acreditado la puesta en movimiento del vehículo, puede estimarse "consumada la utilización -dice la sentencia- cuando al ser sorprendido ya había alcanzado plena disponibilidad de los mecanismos del vehículo previo forzamiento de la puerta de acceso, desbloqueo del volante y extracción de los cables de ignición, aparte de haber acomodado ya y ocultado en el interior las pertenencias que llevaba fuera de sus ropas".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estima que se ha vulnerado el derecho del recurrente a la presunción de inocencia desde dos perspectivas diferentes.</w:t>
      </w:r>
    </w:p>
    <w:p w:rsidRPr="00C21FFE" w:rsidR="00AD51A7" w:rsidRDefault="008777C4">
      <w:pPr>
        <w:rPr/>
      </w:pPr>
      <w:r w:rsidRPr="&lt;w:rPr xmlns:w=&quot;http://schemas.openxmlformats.org/wordprocessingml/2006/main&quot;&gt;&lt;w:lang w:val=&quot;es-ES_tradnl&quot; /&gt;&lt;/w:rPr&gt;">
        <w:rPr/>
        <w:t xml:space="preserve">En primer lugar la demanda cuestiona la prueba de la autoría misma, toda que no se probó en el proceso que sea incierto que había extraviado el Documento Nacional de Identidad y que, por lo tanto pudo ser utilizado por otra persona. Asimismo, sostiene, el único testigo, uno de los guardias urbanos que intervino en el hecho, habría manifestado en el juicio oral no poder reconocerlo "sin ningún género de dudas como la persona que el día antes se encontraba en el interior del tal repetido vehículo".</w:t>
      </w:r>
    </w:p>
    <w:p w:rsidRPr="00C21FFE" w:rsidR="00AD51A7" w:rsidRDefault="008777C4">
      <w:pPr>
        <w:rPr/>
      </w:pPr>
      <w:r w:rsidRPr="&lt;w:rPr xmlns:w=&quot;http://schemas.openxmlformats.org/wordprocessingml/2006/main&quot;&gt;&lt;w:lang w:val=&quot;es-ES_tradnl&quot; /&gt;&lt;/w:rPr&gt;">
        <w:rPr/>
        <w:t xml:space="preserve">En segundo lugar el recurrente sostiene que no se habría probado la consumación del delito, dado que todos los elementos indicarían que el coche no fue puesto en movimiento; por lo tanto, debería habérsele condenado por el delito frustrado y aplicado la pena inferior en grado, según lo prescribe el artículo 51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enero de 1986, la Sección acordó poner de manifiesto la posible causa de inadmisibilidad del artículo 50.2.b) de falta de contenido constitucional de la demanda, otorgando un plazo común de diez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de alegaciones el recurrente insiste que no existe en autos prueba alguna de cargo de su participación en los hechos, y que además no existe prueba alguna que permita afirmar que la persona que en el momento que se intentó proceder a su detención, intentó utilizar el vehículo de motor referido, llegara a utilizarlo. En consecuencia no debe ser condenado al no haber prueba de cargo que le conecte con el hecho criminal, y la condena supone una vulneración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El Ministerio Fiscal indica que se alega la infracción del principio de presunción de inocencia porque no está acreditado que el recurrente tuviera intervención en los hechos y porque se condena indebidamente por la comisión de un delito cuando se está en presencia de una figura delictiva no consumada. En cuanto a lo primero las sentencias impugnadas dan por cierto la participación del recurrente porque la persona que fue encontrada en el interior del vehículo sustraído dejó abandonado su Documento Nacional de Identidad en poder de la policía, y dicho documento pertenecía a quien fue acusado y condenado. El alegato de este de que el documento le había sido sustraído es algo que le correspondería acreditar a él, pues tiene que probar quien afirma no quien niega. Si el inculpado trata de contrarrestar el hecho afirmativo de la posesión del carnet por otro positivo, que también le sustrajeron el carnet, es a él a quien le incumbe probarlo. La presunción de inocencia supone que exista la suficiente prueba para que el Juez pueda realizar su valoración. No hubo pues inversión de la carga de la prueba, ni es posible sostener que no la hubo a disposición del juzgador para emitir su fallo. En lo que se refiere al otro aspecto, si se trata de un delito consumado o no, es cuestión que no puede situarse en el ámbito del derecho fundamental que se alega, pues es un problema de calificación jurídico-penal de los hechos, que no toca a la presunción de inocencia y es una cuestión de mera legalidad. Entiende que la demanda incurre en la causa de inadmisión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en forma manifiesta de contenido que justifique un pronunciamiento por parte de este Tribunal. La cuestión central planteada por el recurrente respecto de la prueba de la autoría se concentra en la supuesta duda del testigo al reconocerlo en el juicio oral. Sin embargo, existen otras pruebas en su contra sobre las que ha basado el convencimiento el juez, y cuya valoración no puede examinar este Tribunal, una vez que ha podido comprobar que existe prueba suficiente para que el juez pueda radicar su valoración y llegar a una conclusión en orden a la participación de los hechos del acusado. No ha existido, pues, la inversión de la carga de la prueba alegada, en relación con la argumentación que se hace en la sentencia sobre la alegación formulada por el hoy recurrente de que la había sido sustraído su Documento Nacional de Identidad para combatir así una prueba de cargo contra él. El que se razone sobre la falta de prueba de esa alegación, no significa, como entiende el recurrente, desplazarle a él la carga de la prueba de su inocencia, sino más bien el que le incumbe probar un hecho positivo por él mismo alegado.</w:t>
      </w:r>
    </w:p>
    <w:p w:rsidRPr="00C21FFE" w:rsidR="00AD51A7" w:rsidRDefault="008777C4">
      <w:pPr>
        <w:rPr/>
      </w:pPr>
      <w:r w:rsidRPr="&lt;w:rPr xmlns:w=&quot;http://schemas.openxmlformats.org/wordprocessingml/2006/main&quot;&gt;&lt;w:lang w:val=&quot;es-ES_tradnl&quot; /&gt;&lt;/w:rPr&gt;">
        <w:rPr/>
        <w:t xml:space="preserve">La segunda alegación tampoco puede ser admitida. La cuestión de si el vehículo se puso en marcha o no, puede carecer de importancia para establecer si el delito se consumó o si la acción quedó en grave frustración. En realidad, la determinación del momento consumativo del delito depende de la interpretación del artículo 516. bis del Código Penal y no de la prueba de hecho, razón por la cual es una problemática en principio ajena a la sede constitucional. El criterio seguido por la Audiencia Provincial al estimar que el hurto (o robo) de uso se consuma "cuando se ha alcanzado la plena disponibilidad de los mecanismos del vehículo", puede no coincidir con la jurisprudencia del Tribunal Supremo invocada en la demanda, pero, en todo caso, no vulnera 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 y el archivo de las actuaciones sin necesidad de pronunciarse sobre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