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abril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Con fecha 8 de marzo de 1986 quedó registrado en este Tribunal un escrito mediante el cual don Mohamed Khair Abbas Rahal, carente de la representación y defensa, afirmaba su voluntad de interponer recurso de amparo constitucional contra las sentencias de 25 de febrero de 1986 y de 22 de junio de 1985 dictadas, respectivamente, por la Sala Segunda del Tribunal Supremo y por la Sala de lo Penal de la Audiencia Nacional, formulando la petición de que se le designase Procurador y Letrado del turno de oficio a los efectos de interponer la demanda.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Tras normbrársele Procurador y Abogado del referido turno de oficio, los designados formalizaron las demandas de amparo y de justicia gratuita, formándose la correspondiente pieza separada para sustanciar la segunda. En ella se afirmaba la carencia de bienes y de arraigo en España, del demandante, y la declaración de insolvencia parcial del mismo declarada en la vía judicial.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De la demanda incidental se dio traslado al Letrado del Estado, que nada opuso a su estimación, y al Ministerio Fiscal quien interesó una información complementaria que se recabó del Juzgado Central de Instrucción número 1, tras de lo cual mostró dicho Ministerio su conformidad a la estimación de la demanda incidental.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Único.- De las actuaciones aparece que el demandante carece de bienes e ingresos y que la cantidad por la que aparece solvente parcial está depositada y efecta a posibles responsabilidades civiles; hallándose, en consecuencia, en el supuesto previsto por el artículo 14 de la Ley de Enjuiciamiento Civil.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 la Sección ha acordado otorgar al demandante el beneficio de gratuidad para litigar en este proceso de amparo.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uno de abril de mil novecientos ochenta y siete.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