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en nombre y representación de don Angel López Gil, presentó demanda de amparo con fecha de 4 de febrero de 1987, contra la Sentencia de 13 de enero de 1987 de la Magistratura de Trabajo núm. 1 de Valladolid, dictada en los autos núm. 495/86. Esta resolución judicial había desestimado la reclamación del actor sobre base reguladora para el cálculo de la pensión de Invalidez Permanente total derivada de enfermedad común, dirigida contra el Instituto Nacional de la Seguridad Social (en adelante, INNS), la Tesorería General de la Seguridad Social (en adelante, TGSS), y la empresa «Talleres Mecánicos del Duero,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quedaba acreditado que don Angel López Gil había prestado servicios en la empresa «Talleres Mecánicos del Duero Sociedad Anónima» desde el 26 de mayo de 1969 hasta el 17 de abril de 1984, fecha en que la relación laboral quedó extinguida, mediante resolución judicial, por incumplimiento contractual de la empresa. Se hacía constar, asimismo, que los trabajadores de dicha empresa, y entre ellos el demandante, se vieron obligados a reclamar los salarios devengados desde noviembre de 1983 hasta el 18 de abril de 1984; que desde el 2 de enero de 1984 hasta el 7 de febrero del mismo año mantuvieron una huelga para exigir el pago de esas prestaciones, y que dichos créditos les fueron abonados, finalmente, tras sucesivos actos de conciliación ante el Instituto de Mediación, Arbitraje y Conciliación. También se reflejaba en la demanda que, con fecha de 19 de abril de 1984, los trabajadores, y con ellos el demandante, pasaron a la situación de desempleo; y que tras la oportuna solicitud, el Instituto Nacional de Empleo (en adelante, INEM) reconoció a don Angel López Gil -y a otros compañeros- el derecho a obtener prestaciones de desempleo desde el 19 de abril de 1984 hasta el 18 de abril de 1986. Esa prestación fue calculada sobre una base reguladora diaria de 3.221 pesetas y una base reguladora mensual de 96.630 pesetas. El 25 de junio de 1986, mediante la correspondiente resolución del INSS, dicho trabajador pasó a la situación de incapacidad permanente total derivada de enfermedad comun, con derecho 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demandante, en el cálculo de la pensión de incapacidad permanente total, el INSS no respetó la base reguladora establecida por el INEM para el reconocimiento del derecho a la prestación de desempleo. Por esa razón, presentó demanda, tras la pertinente reclamación previa, ante Magistratura de Trabajo de Valladolid, solicitando la revisión al alza de la base reguladora de la pensión de invalidez. La Sentencia de 13 de enero de 1987, de Magistratura de Trabajo núm. 1 de esa ciudad, desestimó la reclamación del trabajador, al considerar que no había acreditado suficientemente sus alegaciones, y que las operaciones realizadas por el INSS eran correctas. Contra esta Sentencia, que no es recurrible en la vía ordinaria, se interpuso en su momento recurso de amparo, por presunta violación de los arts. 14 y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recurrente, la Sentencia de Magistratura de Trabajo núm. 1 de Valladolid habría vulnerado el art. 14 de la Constitución, en su vertiente de igualdad en la aplicación de la Ley, al adoptar en ese asunto una solución distinta a la que viene adoptando «la jurisprudencia en múltiples Sentencias» y a la que adoptaron, en casos que el demandante califica como «idénticos», las Magistraturas de Trabajo núms. 2 y 3 de Valladolid con fecha 14 y 16 de enero de 1987, respectivamente; vulneración que habría lesionado, a su vez, el art. 9 de la Constitución, desde el momento en que habría supuesto una ruptura del principio de seguridad jurídica y de «la básica uniformidad en la interpretación de la Ley por los Jueces y Tribunales». Por su parte, la lesión del artículo 24 de la Constitución se habría producido por varias razones, que se podrían condensar en la falta de una respuesta razonada a las alegaciones del demandante, falta de la más mínima valoración de las pruebas practicadas, y apreciación indebida del art. 9.1 de la Ley 31/1984, de protección por desempleo, que, por motivos cronológicos, no sería de aplicación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febrero de 1987, la Sección Cuarta de este Tribunal acordó conceder a las partes un plazo común de diez días para que alegasen lo que estimasen pertinente sobre la posible concurrencia del siguiente motivo de inadmisión: carecer la demanda manifiestamente de contenido que justifique una decisión por parte del Tribunal Constitucional. En el pertinente trámite de alegaciones, el Ministerio Fiscal, mediante informe que lleva fecha 12 de marzo de 1987, se pronunció en contra de la inadmisión del recurso, por faltar el necesario término de comparación para apreciar la presunta lesión del principio de igualdad en aplicación de la Ley, y por considerar que el Juez había dado una respuesta jurídicamente fundada a todas las peticiones del demandante. La parte demandante, por su lado, mediante escrito de 20 de marzo de 1987, se ratificó en sus iniciales alegaciones, en el sentido de que la Sentencia impugnada había lesionado los derechos a la igualdad en la aplicación de la Ley y a la tutela judicial efectiva; añadiendo que la imposibilidad legal de recurrir la resolución judicial impugnada por la vía jurisdiccional ordinaria le había causado, asimismo,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de amparo el motivo de inadmisión señalado en nuestra providencia de 25 de febrero de 1987, consistente en carecer la demanda manifiestamente de contenido que justifique una decisión (entiéndase por Sentencia) por parte del Tribunal Constitucional, como resulta de las consideraciones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primer lugar, que la Sentencia de la Magistratura de Trabajo núm. 1 de Valladolid se había apartado de la línea jurisprudencial mayoritaria y de los criterios utilizados por las Magistraturas de Trabajo núms.  2 y 3 de aquella misma sede en asuntos «idénticos»; y que por esa razón había lesionado el principio de igualdad en la aplicación de la Ley. Pero hay que tener en cuenta, que, como este Tribunal ha dicho repetidamente, la igualdad en la aplicación de la Ley es predicable tan sólo de las resoluciones de un mismo órgano judicial (SSTC 49/1982.  de 14 de julio; 140/1985, de 21 de octubre, y 125/1986, de 22 de octubre, entre otras); y que cuando la comparación se efectúa entre resoluciones de distintos órganos, como sucede en nuestro caso, «la institución que realiza el principio de igualdad y a través de la que se busca la uniformidad, es la jurisprudencia..., porque el principio de igualdad en la aplicación de la ley tiene necesariamente que cohonestarse con el principio de independencia de los órganos encargados de la aplicación de la Ley cuando éstos son órganos jurisdiccionales» (SSTC 49/1982, de 14 de julio, y 125/1986, de 22 de octubre). No hay que olvidar que los Jueces y Tribunales gozan de independencia y están sometidos únicamente al imperio de la Constitución y de la ley (art. 117.1 C.E.  y art. 1 LOPJ); y que, dentro de este marco, las resoluciones judiciales de distintos órganos pueden discrepar. Por ese solo hecho no lesionan derecho alguno, siempre que estén debidamente fundamentadas y que atiendan correctamente las peticiones de las partes. Conviene recordar, a este respecto, que el recurso de amparo no tiene como función unificar la doctrina de los Tribunales, sin perjuicio de que en algunos casos puedan coadyuvar a ello (STC 2/1983, de 24 de enero); y de ahí que no pueda admitirse una demanda que básicamente persigue un segundo enjuiciamiento de la pretensión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Señala el recurrente, en segundo lugar, que la violación del art. 14 C.E.  se conecta con el «art. 9 de la Constitución, que garantiza la seguridad jurídica y la básica uniformidad en la interpretación de la ley por los Jueces y Tribunales». Esta alegación, sin embargo, no se corresponde con el sentido más correcto de cada uno de esos preceptos. Como ya se dijo el Auto de este Tribunal 190/1983, de 27 de abril (núm. de registro 103/83), «el art. 14 de la Constitución no puede consideran como una simple aplicación del art. 9.3, ni puede equipararse el principio de la seguridad jurídica con el de igualdad ante la ley. Por el contrario, son normas que obedecen a distintas razones de ser y que establecen consecuencias jurídicas distintas también. El principio de seguridad jurídica, que según el art. 53 de la Constitución no permite recurso de amparo, ni atribuye un derecho subjetivo de carácter constitucional, consagra la certidumbre del ordenamiento jurídico, mientras que el principio de igualdad impone la interdicción de las discriminaciones y la necesidad de que supuestos de hecho entre los cuales no pueda encontrarse una diferencia razonable, reciban tratamientos jurídicos iguales». Así pues, ni el art. 9 de la Constitución está directamente conectado con el art. 14 de la misma, ni puede ser fundamento para interponer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el recurrente, por último, violación del art. 24.1 de la Constitución, que reconoce el derecho a la tutela efectiva de los Jueces y Tribunales en el ejercicio de los derechos y en la defensa de intereses legítimos. Dice la demanda, concretamente, que la Sentencia impugnada no resuelve los problemas planteados, limitándose a desestimar la pretensión del demandante sin dar ninguna explicación al respecto; que no tiene en cuenta la abundante prueba documental aportada por la actora; y que no realiza la más mínima valoración de la prueba practicada. Añade que la Sentencia «se limita a decir que las pretensiones del actor están basadas en apreciaciones personales por lo que se refiere al período de tiempo en que la Empresa estuvo en situación de descubierto en la cotización a la Seguridad Social, y, por lo que se refiere al período de tiempo en que el demandante estuvo percibiendo la prestación por desempleo, invoca el art. 9, núm. 1, de la Ley 31 de 1984, de 2 de agosto, olvidando por completo que la situación del actor como perceptor de la prestación por desempleo comienza el 18 de abril de 1984».  Estas afirmaciones de la demanda de amparo hay que contrastarlas, sin embargo, con los hechos y con las alegaciones que se reflejan en la demanda presentada ante la Magistratura de Trabajo núm.  1 de Valladolid.  De ella puede deducirse que el trabajador no cuestiona el cálculo efectuado por el INSS hasta noviembre de 1983 inclusive; y que, para los meses siguientes, solicita que se tenga en cuenta (para el cálculo de la base reguladora de la pensión), tanto el salario del convenio colectivo actualizado como la base reguladora de la prestación por desempleo. Para corroborar esta petición se limita a solicitar de la Magistratura que pida la remisión del expediente administrativo y una certificación de la Dirección Provincial de Trabajo, sobre la situación de huelga legal mantenida por el trabajador durante enero y febrero de 1984.  La Sentencia impugnada estima que las alegaciones del actor deben ser rechazadas, por entender que, en parte -las que se refieren hasta abril de 1984- «no se han visto corroboradas por la consiguiente prueba en juicio»; y que, en la parte restante, el INSS ha actuado correctamente, al aplicar lo dispuesto en el art. 9.1 de la Ley 31/1984, de Protección por Desempleo.  Realmente, no cabe apreciar en esa decisión judicial la pretendida lesión del derecho a la tutela efectiva de Jueces y Tribunales. Es verdad que la Sentencia se expresa en términos escuetos, pero ello no quiere decir que no haya dado respuesta a las alegaciones y peticiones -también escuetas, dicho sea de paso- del actor, y que no haya fundamentado aceptablemente su decisión. No hay que olvidar que el demandante no aportaba medios de prueba que pudieran llevar a otra conclusión, si se exceptúan sus afirmaciones.  Tampoco debe olvidarse que el demandante se limitaba a contestar genéricamente las operaciones realizadas por el INNS para el cálculo de la pensión, sin precisar debidamente los puntos controvertidos ni aportar prueba al respecto. Es cierto que en la Sentencia se da aplicación a la Ley 31/1984 de Protección por Desempleo, cuando, por razones cronológicas, cabría discutir si la Ley aplicable era la 51/1980; pero esa decisión -que en todo caso plantearía un problema interpretativo de la legalidad ordinaria- no tuvo repercusión alguna en el fallo, puesto que ambas disposiciones recogen una regla equivalente para el cálculo de la base reguladora de las prestaciones de desempleo (art. 9 y art. 20, respectivamente). Así, pues, tampoco cabe apreciar lesión del derecho a la tutela efectiva de Jueces y Tribunales.  Por otra arte, la referencia que en su escrito de 20 de marzo de 1987 hace el demandante a la indefensión causada por la inexistencia de recurso (en la vía jurisdiccional ordinaria) contra la resolución judicial impugnada, aparte de claramente extemporánea, tampoco es admisible. Este Tribunal ha declarado repetidamente que el derecho a la tutela judicial no implica que deba abrirse la vía de recursos contra cualquier resolución judicial, sino más bien que el interesado tiene derecho a utilizar los recursos previstos en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acordado no admitir el recurso de amparo presentado por don Jesús Alfaro Matos, en nombre y representación de don Angel López Gil.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