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Cuarta de lo Contencioso-Administrativo de la Audiencia Territorial de Madrid, en su recurso 1404/84, planteó la presente cuestión de inconstitucionalidad, admitida a trámite por providencia de 18 de marzo de 1987, de la Sección Segunda del Pleno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14 y 17, en conexión con los artículos 11, 9.3, 31.1 y 3, 33.1 y 3 y 38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distintas Audiencias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 1985,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956, 1019, 1033, 1061, 1088, 1139, 1159, 1177, 1178, 1182, 1203, 1204, y 1205 de 1985, y 75, 76, 77, 78, 79, 80, 81, 93, 94, 95, 145, 146, 246, 248, 311, 424, 432, 433, 434, 455, 459, 460, 475, 550, 568, 572, 644, 664, 698, 718, 753, 754, 864, 865, 929, 993, 1082, 1094, 1115, 1116, 1117, 1118, 1119, 1190, 1236, 1249 y 1303 de 1986 y 116 y 188 de 1987,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3 de abril último, en solicitud de que se suspenda la tramitación de la presente cuestión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13 de abril último, suplicando se dicte sentencia por la que se desestime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