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28 de noviembre de 1986, planteó conflicto constitucional positivo de competencia frente al Consejo Ejecutivo de la Generalidad de Cataluña en relación a la resolución, de fecha 22 de enero de 1986, de la Dirección General de Energía de la Comunidad Autónoma de Cataluña sobre autorización y declaración de utilidad pública en concreto del proyecto de instalación de la linea de alta tensión a 380 KV de la CN Vandellós-1 a la EE Vande11ós-2 solicitada por la sociedad «Hispano Francesa de Energía Nuclear, Sociedad Anónima» (HIFRENSA),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3 de diciembre de 1986, se tuvo por planteado dicho conflicto, registrado con el núm. 1.296/86, y se dio traslado de la demanda al Consejo Ejecutivo de la Generalidad de Cataluña, teniéndose por producida la suspensión de la vigencia y aplicación de la mencionada resolución, de fecha 22 de enero de 1986, desde la fecha de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El Consejo Ejecutivo de la Generalidad de Cataluña se personó y presentó escrito de alegaciones, el 22 de diciembre de 1986, en solicitud de que en su día se dicte Sentencia declarando que la competencia controvertida corresponde a la Comunidad Autónoma de Cataluña. 3. Por providencia de la Sección Cuarta, de 22 de diciembre de 1986, se acordó oir a las partes para que hicieran alegaciones en relación con el mantenimiento o levantamiento de la suspensión de la resolución impugnada objeto del conflicto. </w:t>
      </w:r>
    </w:p>
    <w:p w:rsidRPr="00C21FFE" w:rsidR="00AD51A7" w:rsidRDefault="008777C4">
      <w:pPr>
        <w:rPr/>
      </w:pPr>
      <w:r w:rsidRPr="&lt;w:rPr xmlns:w=&quot;http://schemas.openxmlformats.org/wordprocessingml/2006/main&quot;&gt;&lt;w:lang w:val=&quot;es-ES_tradnl&quot; /&gt;&lt;/w:rPr&gt;">
        <w:rPr/>
        <w:t xml:space="preserve">4. El Letrado del Estado, en escrito recibido el 13 de abril último evacúa el traslado conferido, haciendo las siguientes alegaciones: El levantamiento de la suspensión, caso de que se decretase, en la Sentencia que ha de resolver este asunto, la nulidad de la disposición que en él se cuestiona, obligaría, bien a la retroacción del expediente y a la anulación de las actuaciones que en él puedan producirse, o bien a matizar el contenido de la Sentencia que lo anulara mediante la previsión de conservación de las actuaciones producidas. En el primer caso, fácil es imaginar la incidencia de la anulación en la oposición jurídica de los afectados por las expropiaciones que las declaraciones de utilidad pública de las obras permitirían poner en marcha de inmediato así como el desmonte de las obras realizadas y la inutilidad de los gastos en que se hubieran incurrido. En el segundo supuesto, el Estado vendría obligado a pasar por el mantenimiento forzoso de lo acordado por un órgano incompetente. A ello habría que añadir que la ejecución de la Resolución cuestionada puede suponer una buena dosis de inseguridad respecto al ordenamiento jurídico aplicable y a la realización de actos jurídicos cuya validez, caso de que la impugnación prosperara, podría ser puesta en tela de juicio, con el consiguiente perjuicio para los terceros afectados. Todas estas razones avalan el mantenimiento de la suspensión, sin perjuicio de reconocer no obstante que, como recientemente se ha puesto de manifiesto por el Ministerio de Industria y Energía, de acordarse el levantamiento de la suspensión, el Sistema Eléctrico Nacional se vería afectado por la paralización de las obras. </w:t>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21 de abril último, solicita el levantamiento de la suspensión. Invoca en apoyo de esa petición que como muy bien puso de relieve el informe técnico del Ministerio de Industria y Energía, aportado por la parte actora en el planteamiento de la presente controversia, el origen nuclear de la energía transportada por la línea en cuestión hace que su generación y consecuente transporte sea constante, cubriendo la primera parte de la demanda. Por ese motivo, se hace evidente la absoluta necesidad del funcionamiento de esa instalación de transporte, que constituye, por tanto, un elemento esencial para el normal desarrollo de la explotación de toda la red, dado el carácter imprescindible del aprovisionamiento de energía eléctrica que dicha central proporcionaría. Por otra parte, y de acuerdo con el informe técnico que se aporta anexo al presente escrito, el mantenimiento de la suspensión que pesa sobre la Resolución impugnada acabaría afectando el programa de construcción de la Central Nuclear Vandellós II y los de las líneas que convergen o parten de la Estación Exterior Vandellós-II, influyendo, por tanto, negativamente en la consecución de los objetivos del Plan Energético Nacional. De todo ello se desprende que existen unos intereses públicos que precisan ser atendidos con toda urgencia y en la forma prevista en el proyecto presentado al efecto por la empresa «Hispano Francesa de Energía Nuclear, Sociedad Anónima» (HIFRENSA), siendo imprescindible para su inmediata satisfacción el levantamiento de la suspensión que pesa sobre la Resolución objeto del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con ocasión de conflictos positivos de competencias similares al presente, como los registrados con los núms.  724/84, 458, 459, 547, 1.079, 1.101, 1.102 y 1.199/86, referentes a aprobaciones de proyectos de lineas y centrales eléctricas, se ha pronunciado en relación con el mantenimiento o levantamiento de la suspensión acordada en virtud de lo previsto en el art. 161. 2 de la Constitución. En todos ellos, después de ponderar las razones aducidas por las partes y teniendo en cuenta los intereses públicos y particulares involucrados, se acordó el levantamiento de la suspensión de las respectivas Resoluciones, fundamentando las decisiones en que las líneas y centrales eléctricas respondían a necesidades de suministro que forzosamente habían de satisfacerse, con independencia de cual fuera la instancia competente al respecto, y que los daños eventuales señalados por el representante del Gobierno, de no acordarse la suspensión, serían, sin duda, menos graves que los perjuicios materiales derivados de un retraso en la construcción de las instalaciones.</w:t>
      </w:r>
    </w:p>
    <w:p w:rsidRPr="00C21FFE" w:rsidR="00AD51A7" w:rsidRDefault="008777C4">
      <w:pPr>
        <w:rPr/>
      </w:pPr>
      <w:r w:rsidRPr="&lt;w:rPr xmlns:w=&quot;http://schemas.openxmlformats.org/wordprocessingml/2006/main&quot;&gt;&lt;w:lang w:val=&quot;es-ES_tradnl&quot; /&gt;&lt;/w:rPr&gt;">
        <w:rPr/>
        <w:t xml:space="preserve">En el caso presente concurren las circunstancias que motivaron aquellas resoluciones en anteriores conflictos de competencia, y ha de tenerse en cuenta que el Letrado del Estado en sus alegaciones si bien considera que la ejecución de la Resolución cuestionada puede suponer una cierta inseguridad respecto al ordenamiento jurídico aplicable y producir, caso de que la impugnación prosperara, perjuicios para los terceros afectados, reconoce que con el mantenimiento de la suspensión el Sistema Eléctrico Nacional se vería afectado.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la vigencia y aplicación de la Resolución de 22 de enero de 1986 de la Dirección General de Energía de la Comunidad Autónoma de Cataluña sobre autorización y declaración de utilidad pública del</w:t>
      </w:r>
    </w:p>
    <w:p w:rsidRPr="" w:rsidR="00AD51A7" w:rsidRDefault="008777C4">
      <w:pPr>
        <w:rPr/>
      </w:pPr>
      <w:r w:rsidRPr="&lt;w:rPr xmlns:w=&quot;http://schemas.openxmlformats.org/wordprocessingml/2006/main&quot;&gt;&lt;w:szCs w:val=&quot;24&quot; /&gt;&lt;/w:rPr&gt;">
        <w:rPr/>
        <w:t xml:space="preserve">proyecto de instalación de la línea de alta tensión de la CN Vandellós-I a la EE Vandellós-2, solicitada por la Sociedad «Hispano Francesa de Energía Nuclear, Sociedad Anónima» (HIFRENSA).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