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16 de febrero de 1987 la Sala de lo Contencioso-Administrativo de la Audiencia Territorial de Santa Cruz de Tenerife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26 de marzo de 1987, y se formuló previo cumplimiento de los requisitos procesales establecidos en el art. 35 y siguientes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1ª de 1 de abril de 1987 se acordó oir al Ministerio Fiscal por plazo de 10 dias a fin de que alegase sobre la admisibilidad de la cuestión de inconstitucionalidad planteada al haber dictado sentencia este Tribunal, en la cuestión 665/84 el 17 de Febrero de 1987, declarando la inconstitucionalidad del art. 13.1 de la Ley 24/1983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traslado conferido por escrito de 13 de abril de 1987 en el que tras exponer los antecedentes de la cuestión de inconstitucionalidad planteada, y referirse a la eficacia "erga omnes" de las sentencias que declaran la inconstitucionalidad de una norma, solicitaba que se declarase la inadmisibilidad de la planteada al haberse declarado la inconstitucionalidad del articulo 13.1 de la Ley 24 de 21 de Diciembre de 1983 en virtud de la Sentencia del Tribunal Constitucional 19/1987 de 17 de Febrero.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(articulo 38.1 LOTC) implica, como consecuencia ineludible, la de que, declarada la inconstitucionalidad de una norma legal, esta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17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a la cuestión que en su auto de 16 de febrero de 1987 nos planteaba la Sala de lo Contencioso-Administrativo de la Audiencia Provincial de Santa Cruz de Tenerife.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la inadmisión, por desaparición de su objeto, de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