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diciembre de 1986 tuvo entrada en este Tribunal Constitucional la demanda de amparo interpuesta por don Félix Atienza Peinado y doña Emiliana García Conejo, representados por la Procuradora doña Rosario García González, contra el Auto de la Sala Segunda del Tribunal Supremo, de 13 de noviembre de 1986 y el Auto de la misma Sala, de 1 de diciembre de 1986, que desestimó la súplica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presentaron ante la Sala Segunda del Tribunal Supremo, querella criminal contra el Excmo. Sr. Ministro de Justicia, el Excmo. Sr. Defensor del Pueblo y otros altos cargos de la Administración, a quienes responsabilizaron por la comisión de los delitos de omisión de socorro (artículo 489 bis del Código Penal), denegación de auxilio (artículo 371 del Código Penal), imprudencia temeraria con resultado de muerte (artículo 565 del Código Penal). El fundamento de tal responsabilidad, según se desprende del Auto recurrido, del 13 de noviembre de 1986, sería la omisión en que tales funcionarios habrían incurrido al no haber intentado salvar la vida de Félix Atienza García, hijo de los demandantes, a pesar de haber sido informados telegráficamente, por el propio fallecido y otros presos que convivían con él, de una supuesta negación de ayuda dentro de la prisión. Félix Atienza García falleció el 16 de octubre de 1986 en el Hospital Provincial de Madrid como consecuencia de una infección bucal que según el Auto referido "desembocó posteriormente en una meningitis y tuberculosis que dieron lugar a una septicemia cerebral".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Supremo se declaró competente para entender en la querella en el Auto de 13 de noviembre de 1986 en el que acordó, además, desestimar la querella, en cuanto afecta al Excmo. Sr. Ministro y al Excmo. Sr. Defensor del Pueblo, por carecer la representación de los recurrentes de poder especial y porque el hecho imputado no sería constitutivo de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de amparo interpusieron recurso de súplica, que fue admitido a trámite y desestimado por el Auto de 1 de diciembre de 1986. En este Auto el Tribunal Supremo sostuvo que "sin perjuicio de dar por reproducidos los argumentos que se tuvieron en cuenta en el Auto que ahora se impugna", no correspondería admitir el recurso por ser firme la resolución dictada "conforme preceptúa el artículo 21 de la Ley de Enjuiciamiento Criminal", en la fundamentación del recurso los demandantes invocaron los artículos 24.2 de la Constitución, 8 de la Declaración Universal de Derechos Humanos y 14.5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alega, en primer lugar, la vulneración del derecho a la tutela judicial efectiva, pues los recurrentes habrían sido privados del recurso que establece el artículo 236 de la Ley de Enjuiciamiento Criminal que, estimaron, les correspondía. En segundo término, alegan los recurrentes la violación del derecho a obtener la tutela judicial efectiva por "la falta de motivación que se advierte en ambos Autos del Tribunal Supremo". Asimismo, entienden los recurrentes que su derecho a la tutela judicial efectiva habría resultado también vulnerado porque el Tribunal Supremo desestimó la querella apoyado "exclusivamente en el texto de la querella y en la documental que la acompañaba", sin haber iniciado "siquiera el procedimiento". Esta vulneración alcanzaría también, por las mismas causas, al derecho a un proceso con todas las garantías (artículo 24.2 de la Constitución). Por último, alegan los recurrentes que se ha infringido el artículo 24.1 de la Constitución, pues se les habría negado "el derecho al proceso contenido en el derecho a la tutela judicial efectiva" con un fundamento "puramente formal y en todo caso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marzo de 1987 la Sección puso de manifiesto al recurrente la posible existencia de los motivos de inadmisión previstos en los artículos 50.1.b), en relación al 49.2.a); 50.1.a), en relación al 44.2, y 50.2.b), todos de la Ley Orgánica del Tribunal Constitucional, otorgando al mismo tiempo al Ministerio Fiscal y al demandante un plazo común de 10 días para que aleguen al respecto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sostuvo que su representación estaría acreditada en los Autos del proceso que dieron origen a esta demanda. En cuanto al artículo 50.1.a), estimó que la demanda fue presentada antes del transcurso del plazo sosteniendo que el Tribunal Constitucional podría informarse de ello en los autos tramitados en la vía judicial precedente. Por último, en lo referente al artículo 50.2.b) de la Ley Orgánica de este Tribunal, reiteró brevemente las afirmaciones sobre el fondo ya realizadas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su parte, alegó en favor de la inadmisión de la demanda, estimando que concurren las tres causas de inadmisión puestas de manifiesto en la providencia de 18 de marzo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incurre en el motivo de inadmisión previsto en el artículo 50.1.a) en relación con el 44.2 de la Ley Orgánica de este Tribunal, pues los recurrentes debieron interponer el recurso de amparo directamente contra el Auto de 13 de noviembre de 1986, notificado el 14 del mismo mes y año. Contra este Auto no cabía, como lo establece el Auto del Tribunal Supremo de 1 de diciembre de 1986, recurso alguno de la jurisdicción ordinaria. Por lo tanto el plazo para interponer el recurso de amparo comenzó a correr el día 15 de noviembre de 1986. La demanda, como se dijo, tuvo entrada en este Tribunal Constitucional el 29 de diciembre de 1986. El Tribunal Supremo entendió que su resolución de 13 de noviembre de 1986 era firme, con apoyo en el artículo 21 de la Ley de Enjuiciamiento Criminal, que los demandantes estiman no aplicable al caso. Sin embargo, la interpretación de la Sala Segunda del Tribunal Supremo no ofrece reparo constitucional alguno, pues el Auto recurrido es en verdad una decisión relativa a la competencia del mismo Tribunal Supremo. En casos como el presente, la competencia de la Sala Segunda del Tribunal Supremo depende de la materia de la querella y además de la responsabilidad, prima facie, de las personas acusadas. En el Auto recurrido el Tribunal Supremo declaró su competencia respecto de la materia, pero la excluyó respecto de las personas, pues éstas no resultaron prima facie responsables. Por esta razón es evidente que el artículo 21 de la Ley de Enjuiciamiento Criminal encuentra aplicación directa al caso y la decisión de la Sala Segunda del Tribunal Supremo cuenta con suficiente respaldo legal. Como ya lo ha resuelto el Tribunal Constitucional, la interposición de recursos improcedentes no determina una extensión del plazo para interponer el recurso de amparo por lo que la presente demanda debe inadmitirse con base en el artículo 50.1.a)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Siendo la extemporaneidad motivo suficiente para impedir por sí solo que el recurso pueda seguir adelante, no es preciso entrar en los otros dos motivos también señalados en nuestra providencia de 18 de marzo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in admitir el amparo solicitado por don Félix Atienza Peinado y doña Emiliana García Conejo.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