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734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Procurador Sr. Granizo García Cuenca, actuando en nombre y representación de don Santiago Parral Acosta, y mediante escrito presentado en el Registro General de este Tribunal el día 19 de diciembre de 1986, se interpuso recurso de amparo, contra la Sentencia del Juzgado de Primera Instancia n° 1 de Badajoz, de 21 de noviembre de 1986, que desestimó el recurso de apelación interpuesto por el demandante frente a la del Juzgado de Distrito n° 2 de Badajoz de 25 de octubre de 1986 y por virtud de la cual se declaró resuelto el contrato de arrendamiento de vivienda a que las actuaciones se referían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fue resuelto por Auto de 8 de abril pasado que acordó la inadmisión de dicho recurso y la imposición al recurrente de una sanción pecuniaria de 25.000 pesetas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el referido Auto se ha interpuesto por la parte demandante recurso de súplica en lo que se refiere a la sanción pecuniaria por aquél impuesta, puntualizando que el propósito del demandante era el de sentar las bases de un pronunciamiento de este Tribunal Constitucional acerca de que la Jurisdicción laboral es la competente para conocer de un desahucio de vivienda ocupada por razón de un contrato de trabajo; negando que exista temeridad o abuso del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 recurso de súplica se ha dado traslado al Ministerio Fiscal, quien se ha opuesto a su estimación.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Además de la apreciación de la concurrencia de elementos objetivos determinantes de la inadmisión de la demanda de amparo (falta de invocación en la vía judicial del derecho constitucional vulnerado y carencia de contenido constitucional), el Auto impugnado razonaba la concurrencia de un fraude procesal en la intencionada conducta del demandante, quien sostuvo ante la jurisdicción laboral que no era ella la competente para conocer del desahucio; manteniendo lo contrario cuando del tema conoció la civil. Esta conducta, proyectada a la obtención de un amparo constitucional carente de bases objetivas, reaparece como temeraria en esta reconsideración a que el demandante nos obliga por la fuerza de un recurso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no haber lugar al recurso de súplica deducido contra el Auto de 8 de abril pasado, que se confirma en sus propios términos.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