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1181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26 de junio de 1987, la Procuradora de los Tribunales doña Esperanza Jerez Monge interpone, en nombre y representación de doña María Begoña Mirones Morlán, recurso de amparo contra el Auto de 27 de mayo de 1987 de la Sección Tercera de la Audiencia Provincial de Madrid, que desestimó el recurso de súplica por ella interpuesto y confirmó el Auto de 13 de diciembre de 1986 dictado por la misma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a) Con fecha 18 de diciembre de 1985, la hoy recurrente de amparo formuló querella criminal por posible delito de apropiación indebida contra don José Lázaro Villa y don Romualdo de Toledo y Sanz, correspondiendo conocer de la misma al Juzgado de Instrucción núm. 29 de Madrid. Por Auto de 3 de diciembre de 1986 el Juez admitió a trámite la querella y acordó oír a los querellados. Efectuada la declaración del querellado José Lázaro Villar, el Juzgado dictó Auto el 3 de febrero de 1986 decretando el archivo de las diligencias, por no ser los hechos constitutivos de infracción penal. b) Formulado recurso de reforma ante el Juzgado de Instrucción, fue desestimado en Auto de 20 de febrero de 1986. Interpuesto recurso de apelación ante la Sección Tercera de la Audiencia Provincial, fue desestimado en Auto de 13 de diciembre de 1986, que confirmó el Auto de archivo. c) Contra el Auto dictado por la Audiencia, resolviendo el recurso de apelación, la querellante formuló recurso de súplica, que fue inadmitido en providencia de 27 de mayo de 1987, al considerar la Sala que el mismo era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demandante de amparo considera, en primer lugar, que las resoluciones recurridas vulneran el derecho a la tutela judicial efectiva del art. 24.1 de la Constitución, alegando que la única prueba practicada, de las diez propuestas, fue la declaración de uno de los querellados, cuando las diligencias propuestas eran totalmente necesarias para la comprobación de los hechos presuntamente constitutivos de un delito de apropiación indebida. Considera, además, que el Juzgado infringió el art. 312 de la Ley de Enjuiciamiento Criminal, pues no practicó las diligencias propuestas ni dictó resolución motivada para rechazarlas. En segundo lugar, estima que las resoluciones judiciales han vulnerado el art. 33.1 de la Constitución, pues unos hechos presuntamente delictivos han quedado impunes y los posibles responsables se han apropiado indebidamente de 25.000.000 de pesetas propiedad de la recurrente. En consecuencia, solicita de este tribunal que anule las resoluciones judiciales impugnadas y establezca la necesidad de efectuar por el Juzgado de Instrucción número 29 de Madrid las diligencias de pruebas solicitadas en el escrito de querella en averiguación de los posibles hechos delictivos.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julio de 1987, la Sección Cuarta (Sala Segunda) de este Tribunal acuerda conceder un plazo común de diez días al Ministerio Fiscal y a la solicitante de amparo para que aleguen lo que estimen pertinente en relación con la posible concurrencia del motivo de inadmisión consistente en carecer la demanda manifiestamente de contenido que justifique una decisión por parte del Tribunal Constitucional, conforme a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30 de julio de 1987, el Ministerio Fiscal interesa la inadmisión del recurso de amparo por concurrir el motivo de inadmisión puesto de manifiesto en nuestra providencia. Considera el Fiscal, en primer lugar, que el Juez no tuvo que razonar explícitamente el rechazo de las pruebas propuestas por el querellante, pues, al concluir que los hechos objeto de querella no eran constitutivos de delito, por exigencia del art. 789 de la L.E.Cr., procede el archivo de las actuaciones, pronunciamiento que, obviamente, excluye la práctica de cualquier prueba. De otra parte, considera que el archivo motivado de las diligencias no lesiona el derecho a la tutela judicial del querellante y que lo contrario podría lesionar el mismo derecho de los querellados.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recurrente, en escrito presentado el 8 de septiembre de 1987, solicita la admisión del presente recurso de amparo por haber existido infracción del derecho a obtener la tutela judicial efectiva del art. 24.1 de la Constitución, reiterando que el archivo de las diligencias penales por el Juez instructor, así como la posterior confirmación del mismo por la Audiencia Provincial, causa indefensión a la querellante, pues, a su juicio, dichas resoluciones son arbitrarias e infringen lo dispuesto en los arts. 312 y 785 de la Ley de Enjuiciamiento Criminal, al haber sido tomadas a priori sin base fáctica ni jurídica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el presente caso, concurre el motivo de inadmisión previsto en el artículo 50.2 b) de la LOTC, por carecer la demanda manifiestamente de contenido que justifique una decisión por parte de este Tribunal.  En primer lugar, la decisión de archivar las actuaciones sin practicar las diligencias de pruebas interesadas por la querellante no vulnera el derecho a obtener la tutela judicial efectiva del art. 24.1 de la Constitución, cuando, como ocurre en el presente caso, la prueba ya practicada demuestra la inexistencia del delito y el Juez o Tribunal pone de manifiesto esta circunstancia en la fundamentación de la resolución, sin que sea preciso, en estos supuestos, un rechazo expreso de las demás diligencias de pruebas propuestas. (En este mismo sentido, entre otros, AATC 819/1985, de 20 de noviembre, y 262/1986, de 19 de marzo.)  Además, en el presente caso, el hecho de que el Juez de Instrucción no dictara Auto rechazando las pruebas propuestas no ha causado indefensión a la recurrente, pues, de un lado, contra la decisión de archivar las actuaciones interpuso recurso de reforma ante el Juzgado de Instrucción, y, al serle denegado, formuló recurso de apelación ante la Audiencia Provincial, alegando como tema único en los mismos la ausencia de admisión y práctica de las pruebas propuestas en la querella, de lo que se deduce que pudo utilizar los mismos recursos que permitía la Ley de Enjuiciamiento Criminal para el caso de denegación expresa de las pruebas.  Por otro lado, en el Auto de admisión de querella, el Juez únicamente acordó como pruebas a practicar la declaración de los dos querellados y contra dicha resolución, debidamente notificada a la representación de la recurrente, pudo ésta interponer recurso de reforma para el caso de disconformidad con la misma.  Finalmente, la recurrente invoca violación del art. 33.1 de la Constitución.  Es evidente que tampoco puede tomarse esta alegación como fundamento de la demanda de amparo, porque la presunta vulneración del derecho a la propiedad no es susceptible de protección constitucional por la vía del recurso de amparo, aparte de que dicha invocación es puramente retórica y formal.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formulado por doña María Begoña Mirones Morlán,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