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1379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Aurelia Cruz Carrascosa.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24 de julio del año en curso se registró en este Tribunal un escrito mediante el cual don Francisco Guinea y Gauna, Procurador de los Tribunales, interpuso recurso de amparo constitucional en nombre y representación de doña Aurelia Cruz Carrascosa, diciendo impugnar la Sentencia núm. 435, de 1 de julio de 1987, de la Magistratura de Trabajo núm. 1 de las de Jaén, dictada en autos 165/1987.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exponen en la demanda los siguientes hechos: a) La actora, nacida el día 5 de marzo de 1921, «perteneció al Régimen Especial de Autónomos, de la Seguridad Social», según indica en su demanda. Con fecha 19 de julio de 1986 dedujo demanda ante la jurisdicción laboral solicitando que se le reconociera la situación de incapacidad permanente, pretensión acogida en Sentencia, de fecha que no se indica, dictada por la Magistratura de Trabajo núm. 1 de las de Jaén. Esta resolución habría declarado a la hoy demandante afectada de «incapacidad permanente total», siendo su base reguladora, a efectos de pensión, la de 71. 523 pesetas mensuales. b) Por contar ya la demandante «más de cincuenta y cinco años de edad», solicitó de la Seguridad Social «el incremento del 20 por 100 de aquella base reguladora»», petición que fue denegada en razón de que dicho incremento era sólo de aplicación para los trabajadores afectos al Régimen General de la Seguridad Social, no para los adscritos -como la demandante- al «Régimen Especial de Autónomos». Según consta en la Sentencia que hoy se impugna, el Acuerdo denegatorio fue dictado por el Instituto Nacional de la Seguridad Social con fecha 16 de enero de 1987. c) Agotada la vía administrativa, formuló la señora Cruz Carrascosa demanda de la que conoció la Magistratura núm. 1 de las de Jaén. Con fecha 1 de julio de 1987 dictó su Sentencia la Magistratura de Trabajo desestimando la demanda de la actora con la siguiente fundamentación jurídica: «Que teniendo en cuenta que la actora fue declarada en situación de Invalidez Permanente Total para su profesión habitual por su condición de afiliada al Régimen Especial de Trabajadores Autónomos y dado que el 20 por 100 de incremento que el mismo solicita viene derivado de la Ley 24/1972, de 21 de junio, que desarrolla el Decreto 1.646/1972, de 23 de junio, del régimen General de la Seguridad Social, es lógico llegar a la conclusión de que al no estar encuadrado dicho trabajador autónomo en el Régimen General de la Seguridad Social, no pueden serle de aplicación los preceptos que para el incremento del 20 por 100 el mismo invoca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se invoca, como vulnerado, el principio constitucional de igualdad (art. 14); se aduce al efecto, para argumentar tal violación, que el trabajador mayor de cincuenta y cinco años de edad no puede recibir un trato menos favorable en el Régimen Especial de Trabajadores Autónomos que el dispensado en el Régimen General de la Seguridad Social, pues lo contrario -esto es, la denegación para los trabajadores autónomos del incremento del 20 por 100 en su base reguladora- entraña la discriminación que la Constitución proscribe. Para fundame ntar este alegato se citan en la demanda el párrafo segundo del artículo 136.2 de la Ley General de la Seguridad Social (en donde se prevé el incremento de pensión para todos los pensionistas, tanto -se dice-, del Régimen General como de los regímenes especiales), el preámbulo del Decreto 2.530/1970, de 20 de agosto (en el que se diría «que en el Régimen Especial de Autónomos se tiende a lograr la homogeneidad con el Régimen General») y la Resolución de 22 de mayo de 1986 de la Secretaría General de la Seguridad Social (en la que se habría acordado que los pensionistas de incapacidad permanente total percibirán el citado incremento del 20 por 100 de la base reguladora, una vez cumplidos los cincuenta y cinco años de edad). Se añade en la demanda, reiterando la cita del art. 14 de la Constitución, que «aun en situaciones no expresamente previstas por el legislador ordinario» procedería la aplicación analógica que se prevé en el art. 4.1 del Código Civil, y se cita la Sentencia de la Sala Tercera del Tribunal Supremo de 27 de octubre de 1986. Se suplica se dicte Sentencia en la que, declarándose la nulidad de la impugnada, se reconozca el derecho de la actora «a que la base reguladora de pesetas 71.523 que tiene asignada para su pensión por incapacidad permanente total sea incrementada en un 20 por 100 por tener (sic) citada solicitante más de cincuenta y cinco años de edad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en su reunión del pasado 26 de octubre acordó poner de manifiesto en este asunto la posible existencia de las siguientes causas de inadmisibilidad: 1.ª La regulada por el art. 50.1 b), en relación con el 44.1 c) de la Ley Orgánica del Tribunal Constitucional, por no aparecer que se haya invocado en el previo proceso judicial el derecho constitucional que se dice vulnerado. 2.ª La del art. 50.2 b), por cuanto la demanda pudiera carecer de contenido que justifique una decisión de este Tribunal. Por ello, en aplicación de lo dispuesto en el art. 50 de la referida Ley Orgánica, se concedió un plazo común de diez días a la parte recurrente y al Ministerio Fiscal para que realizaran las alegaciones que estimaran pertinentes. Dentro del plazo al efecto concedido, ha presentado escrito de alegaciones la parte solicitante de amparo que insiste en sus iniciales pretensiones y que solicita que el asunto sea admitido a trámite y que el Tribunal se pronuncie sobre las peticiones contenidas en la súplica de la demanda. El Ministerio Fiscal, por su parte, ha presentado escrito solicitando la inadmisión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que se hace valer en el recurso ha de considerarse carente de contenido constitucional relevante que permita su conocimiento y fallo, en forma de Sentencia, por este Tribunal [art. 50.2 b) de su Ley Orgánica].  El sentido objetivo de la pretensión que se ejercita permite identificar al recurso, rectificando lo que en la demanda se dice, como encauzado por la vía del art. 43 de la Ley Orgánica de este Tribunal, ya que, en rigor, el acto inicial supuestamente discriminatorio habría sido aquí la resolución administrativa denegatoria de la pretensión de quien hoy demanda, adoptada por el Instituto Nacional de la Seguridad Social con fecha 16 de enero de 1987, acto éste respecto del cual la Sentencia judicial tuvo un alcance estrictamente confirmatorio, sin que, en consecuencia, sea posible imputar al órgano judicial, con carácter «inmediato y directo» (art. 44.1 de la Ley Orgánica del Tribunal Constitucional), la lesión que se aduce. Hay que añadir, junto a ello, que, aunque no se diga expresamente en la demanda, la pretensión se dirige de modo indirecto contra las normas legales que fueron tenidas en cuenta en los procedimientos que anteceden, por la Administración y por el órgano judicial, para concluir que la entonces solicitante y actora no ostentaba el derecho al incremento de pensión controvertido, al hallarse dicho beneficio exclusivamente previsto por las normas reguladoras del Régimen General de la Seguridad Social.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aquí importa, estas normas se encuentran recogidas en la Ley 24/1972, de 21 de junio y en el Decreto 1.646/1972, de 23 de junio, textos citados en la resolución judicial que se dice impugnar. Por lo que a aquella disposición de Ley se refiere, se ha de tener en cuenta lo dispuesto en el art. 136.2 del Texto refundido de la Ley General de la Seguridad Social (en donde quedó subsumida dicha Ley 24/1972), disposición en cuyo párrafo segundo se previene que «los declarados afectos de incapacidad permanente total para la profesión habitual percibirán la pensión prevista en el párrafo anterior incrementada en el porcentaje que reglamentariamente se determine, cuando por su edad, falta de preparación general o especializada y circunstancias sociales y laborales del lugar de residencia se presuma la dificultad de obtener empleo en actividad distinta de la habitual anterior».  Importa reseñar que, frente a lo que en la demanda se dice esta disposición legal es exclusivamente aplicable en el Régimen General de la Seguridad Social -no en los especiales-, puesto que el art. 136 citado se integra en la Sección 3.ª del Capítulo Sexto del Título II de la Ley General de la Seguridad Social, Título cuya rúbrica es «Régimen General de la Seguridad Social», en correspondencia, por lo demás, con lo que se dispone en el art. 9.1 a) del mismo texto legal.  De conformidad con el ámbito de aplicación así legalmente determinado, también afecta exclusivamente a dicho Régimen General la ordenación reglamentaria (Decreto 1.646/1972, de 23 de junio citado, según se dijo, por el juzgador a quo) del beneficio en cuestión.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regulación de las condiciones para la obtención de dicho incremento del 20 por 100 de la base reguladora de la pensión se contiene en el art. 6 de esta disposición reglamentaria, de título también inequívoco: «Decreto...  para la aplicación de la Ley 24/1972, de 21 de junio, en materia de prestaciones del Régimen General de la Seguridad Social».  Como conclusión, pues, se ha de reconocer que la queja por discriminación que ahora se plantea, aunque formulada con ocasión de la adopción de actos administrativos y judiciales concretos, se dirige, en realidad, contra previsiones (u omisiones, mejor) de determinadas normas jurídicas, una de las cuales ostenta fuerza de ley, consideración ésta pertinente para apreciar la hipotética conexión entre la demanda de amparo y lo dispuesto en el art. 55.2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queja constitucional, con el planteamiento resumido, ha de considerarse, como ya se dijo, carente de contenido constitucional.  No reacciona la demandante frente a una discriminación producto de una previa diferenciación normativa, pues no cabe reprochar a las normas legales y reglamentarias antes citadas haber introducido entre los sujetos a su ámbito propio de aplicación «diferenciaciones» en sentido propio que pudieran ser enjuiciadas a la luz del principio de igualdad.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Contrastando las normas que indirectamente se controvierten con las que, en el Régimen Especial de los Trabajadores Autónomos, no reconocerían el beneficio que aquí se pretendió obtener (Decreto 2.530/1970, de 20 de agosto, y Reales Decretos 2.504/1980, de 24 de octubre, y 43/1984, de 4 de enero), no se hace aparente un problema de diferenciación normativa, si no más bien una relación entre normas generales y especiales, que sólo podría discutirse, desde la perspectiva del principio de igualdad, poniendo en cuestión no los contenidos diversos de las normas que en uno y otro régimen -general y especialse incardinan, sino el principio mismo de articulación de la materia entre un Régimen General y diversos regímenes especiales [apartados a) y b) del art. 9.1 del Texto refundido de la Ley General de la Seguridad Social].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controversia sobre uno de los principios estructurales a partir de los que hoy se organiza nuestro sistema de Seguridad Social no es, sin perjuicio de otras consideraciones, admisible, teniendo en cuenta que la diversificación entre regímenes General y especiales de la Seguridad Social -se valoren del modo que sea en términos de política legislativa- se ha introducido por el legislador no diferenciando entre lo que antes de su acción estaba sujeto a un régimen común, sino ordenando de modo peculiar situaciones jurídicamente diversas y relativas, en este caso, al tipo de actividad laboral desarrollada por los afiliados al sistema (trabajo por cuenta ajena o autónomo).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efecto, puede ser de útil consideración lo que dijo ya este Tribunal en su STC 148/1986, de 25 de noviembre (fundamento jurídico 6.º), observándose entonces que «cuando nos encontramos ante una previa diferenciación de regímenes jurídicos y una norma posterior establece una regulación diferente para supuestos de hecho comprendidos en cada uno de dichos distintos regímenes jurídicos» la cuestión puede resultar ajena al ámbito del principio de igualdad, ya que «No se puede exigir una igualdad de trato al legislador cuando trata de extraer consecuencias jurídicas diversas de situaciones que estaban originariamente en una situación jurídica distinta, siempre que el criterio adoptado por el legislador sea esa diferenciación de régimen jurídico; la finalidad perseguida por la norma diferenciadora sea  coherente con esa diferenciación de partida».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pasaje de la Sentencia que se acaba de citar puede servir, como se apuntó, para apreciar la dificultad de controvertir, en este caso, la misma articulación del sistema de la Seguridad en Régimen General y regimenes especiales. En todo caso, no discutida aquí de modo directo tal articulación, carece de sentido proponer el examen, a la luz del principio de igualdad, de las reglas que, por «generales», resultan inaplicables a quienes se hallan sujetos a regímenes específicos. Es obvio que el reproche no puede dirigirse ni a las normas ordenadoras del Régimen General establecedoras del beneficio del que aquí se trata (estas normas -habida cuenta de su ámbito de aplicación- no pueden decirse «diferenciadoras» por defecto de regulación) ni, de otra parte, a las disposiciones mismas que regulan, sin contemplar el incremento de pensión que aquí se reclamó, el Régimen Especial de los Trabajadores Autónomos, pues, de nuevo, el principio mismo de «especialidad» normativa que tales normas expresan impide su contraste con lo establecido en el Régimen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concurrencia de la causa de inadmisión del art. 50.2 b) hace innecesario examinar las restantes causas de inadmisión propuestas.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inadmisible el recurso de amparo promovido por doña Aurelia Cruz Carrascosa.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