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1392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diciembre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10 de octubre de 1987, la Procuradora doña Nuria Munar Serrano, en nombre de doña Francisca Moreno Matilla y otras, interpuso recurso de amparo contra Sentencia del Tribunal Central de Trabajo, de 30 de marzo de 1987 en el recurso de suplicación 618/1984.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fundamenta en los siguientes hechos: Las recurrentes son limpiadoras que inicialmente pertenecían a la contrata que tenía a su cargo la limpieza del Ayuntamiento de Leganés y de los centros de él dependientes. El 1 de enero de 1980 todo el personal de la contrata quedó integrado como personal laboral del Ayuntamiento, siendo homologado al personal de plantilla, atribuyéndose para ese año a las limpiadoras un salario anual de 450. 807 pesetas y a los peones de limpieza que también se homologaron un salario anual de 585.841 pesetas. A ambos colectivos se les asignó el nivel 3 y el coeficiente 1,3. En 1981, el Ayuntamiento de Leganés acordó una subida del salario de las limpiadoras idéntica en pesetas brutas a la de los peones y operarios, con lo que se limaron las diferencias salariales entre aquéllas y éstos. En el Convenio Colectivo suscrito para 1982 se acordó que las retribuciones del colectivo de limpiadoras se equipararían al de los trabajadores de su mismo coeficiente y nivel en un plazo de dos años, abonándose el 50 por 100 de la diferencia en cada uno de los dos. Entendiendo que esta situación era discriminatoria, las hoy recurrentes interpusieron demanda que fue desestimada por Sentencia de la Magistratura de Trabajo núm. 2 de Madrid, de 24 de octubre de 1983, confirmada en suplicación por otra del Tribunal Central de Trabajo de 31 de marzo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Alegan las recurrentes que se ha infringido el art. 14 de la C.E,, en relación también con el 4.2 c) del Estatuto de los Trabajadores y el art. 14 del Convenio Europeo para la Protección de los Derechos Fundamentales, normas todas ellas que prohiben toda discriminación por razón de sexo. Las limpiadoras y peones de la limpieza fueron homologados por el Ayuntamiento recurrido, que les otorgó la misma categoría y el mismo coeficiente y nivel. Ambos colectivos realizan funciones de limpieza, sin que el hecho de que las limpiadoras realicen su trabajo en las dependencias del Ayuntamiento y los peones en la calle sirva para justificar una diferencia anual de 135.000 pesetas, máxime si se tiene en cuenta que aquéllas realizan horario de mañana y tarde y éstos jornada continuada, lo que compensa aquella circunstancia. En 1983 se consiguió por fin el trato igualatorio y no discriminatorio, lo que evidencia que la situación anterior no era así. Por otra parte que las desigualdades que se combaten tengan su origen en Convenio Colectivo en los años 1980 y 1982 no impide la infracción constitucional que se denuncia, pues los convenios (art. 85 del Estatuto de los Trabajadores) deben respetar las leyes y, más aún, el principio constitucional de igualdad. Se solicita que se declare la nulidad de la Sentencia impugnada y el derecho de las recurrentes a percibir las cantidades en su día reclamadas.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noviembre de 1987, la Sección Cuarta de la Sala Segunda de este Tribunal Constitucional acuerda conceder un plazo común de diez dias al Ministerio Fiscal y a la representación de las recurrentes, a fin de que aleguen lo que estimen pertinente respecto de los siguientes motivos de inadmisión: a) De carácter subsanable: no acompañar a la demanda la copia, traslado o certificación de la Sentencia dictada en primera instancia por la Magistratura de Trabajo núm. 2 de Madrid [art. 50.1 b) en conexión con el 49.2 b) LOTC]. b) De carácter insubsanable: 1) Ser la demanda extemporánea, al no haberse acreditado la fecha de notificación de la Sentencia dictada por el Tribunal Central de Trabajo [art. 50.1 a) en conexión con el 44.2 LOTC]. 2) Carecer la demanda manifiestamente de contenido que justifique una decisión por parte de este Tribunal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26 de noviembre de 1987, considera que la demanda carece de contenido constitucional al afirmarse y razonarse en la resolución del Tribunal Central de Trabajo que las desigualdades salariales respondieron a diferencias en el trabajo, lo que justificaría aquéllas (STC 34/1984). Termina solicitando Auto acordando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Nuria Munar Serrano, Procuradora de los Tribunales, en nombre y representación de doña Francisca Moreno Matilla y 36 más, en escrito de 27 de Magistratura de Trabajo núm. 2 y también copía testimoniada de la Sentencia del Tribunal Central de Trabajo en la que consta la fecha en que dicha Sentencia fue notificada a la parte actora, y que por tanto acredita que el recurso de amparo está presentado dentro de plazo. En cuanto al motivo de inadmisión de carecer la demanda de contenido que justifique una decisión por parte del Tribunal Constitucional, esta parte considera que la Sentencia del Tribunal Central de Trabajo, que en suplicación confirma la de la Magistratura de Trabajo núm. 2, vulnera el art. 14 de la Constitución en base y dando por reproducido en este escrito todo lo alegado en el escrito de interposición del recurso de amparo y formulación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se advirtió en la providencia de 10 de noviembre de 1987, la demanda carece manifiestamente de contenido que justifique una decisión por parte del Tribunal Constitucional. En efecto, no puede admitirse que exista una discriminación por razón de sexo entre miembros de un mismo colectivo de «trabajadores de la limpieza» del Ayuntamiento de Leganés, como las recurrentes pretenden, pues en realidad se están comparando dos colectivos de trabajadores -limpiadoras por un lado y peones de limpieza por otro- que no se diferencian por el hecho de que el primero esté integrado por mujeres y el segundo por varones, dato meramente circunstancial y aleatorio, sino por razón de las funciones distintas que tienen atribuidas -limpieza de las dependencias municipales en un caso y limpieza de la calle en el otro- así como en otras condiciones de trabajo -el horario, por ejemplo, según indican las propias demandantes-. En consecuencia, no se comparan dos situaciones iguales y, por ello, la equiparación salarial, si bien puede responder a un postulado de igualdad o justicia material, no resulta una exigencia del art. 14 de la C.E., pues no toda diferencia salarial es efectivamente discriminatoria, sino tan sólo la que se basa en alguna de las condiciones o circunstancias enunciadas en el dicho art. 14 o que suponga la lesión de un derecho o la vulneración de una norma que contenga un criterio igualatorio de obligada observancia (SSTC 59/1982, 34/1984 y 52/1987). No siendo este el caso, carece de fundamento la discriminación alegada.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en su virtud,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