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9 de abril de 1987, el Procurador de los Tribunales don Enrique Sorribes Torra, en nombre y representación de don Francisco Soto Ordóñez, contra doña María Luisa Garrido Rubia, don Francisco Javier Martorell Fábregat, doña Eulalia Camps Sardá, don Jaume Canela Soler, doña Mercedes Rico Busquets, don Juan Garriga Armengou, doña María Ballonga Casas, doña Gabriela Pérez Penas, don José Recio Ariza, doña María Dolores Tribaldos Tribaldos, don Ramón González Martínez, doña Modesta Mejías Barragán, don Enrique Farras Valls y doña Pilar Manzano Castell, interpone recurso de amparo contra el Auto de 12 de junio de 1986 del Juzgado de Instrucción núm. 1 de Sabadell que decretó el archivo de las diligencias previas núm. 596/1985, tramitadas en virtud de querella de los promoventes del amparo, y que fue confirmado por la Sección Tercera de la Audiencia Provincial de Barcelona en Autos dictados en el recurso 250/1986, de 28 de octubre de 1986 y 16 de marzo de 1987, que, respectivamente, desestimaron el recurso de apelación y no dieron lugar a la tramitación del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28 de enero de 1985, los recurrentes en amparo interpusieron querella contra don José Toro García, en nombre propio y en su calidad de legal representante de «Verguer, Sociedad Anónima», así como contra don José María Blanquer Cutrina, doña Aurora González Prieto, don Francisco Romero Vázquez y don José Fernández León, basándose en que les habían cobrado cantidades superiores a las autorizadas en la cédula de calificación definitiva de las viviendas de protección oficial que les habían vendido. Asimismo denunciaban que existía una alteración en la calidad de los materiales de construcción, señalada por los Servicios Técnicos de la Generalidad de Cataluña, que podría también ser constitutiva de un delito de estafa, ya que difería de la expuesta en la memoria que se presentó en su día ante la Administración para obtener la calificación de vivienda protegida.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Admitida a trámite la querella, después de recibir declaración a los querellados, con excepción de doña Aurora González Prieto, y oficiarse a la Generalidad, el Juzgado de Instrucción núm. 1 de Sabadell dictó Auto, de fecha 12 de junio de 1986, decretando el archivo de las diligencias por considerar que «el hecho que motivó su incoación no constituye infracción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referida resolución fue impugnada, por presunta vulneración del párrafo primero del art. 24 C.E., a través de los recursos de reforma y subsidiario de apelación, que fueron desestimados por sendos Autos, de 30 de agosto de 1986 y 28 de septiembre del mismo año. Este último fue, a su vez, recurrido en súplica ante la misma Sala de la Audiencia Provincial de Barcelona, inadmitiéndose su tramitación por Auto de 16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ha sido vulnerado el art. 24 de la C.E., ya que, en su opinión, al acordar el Juez el archivo de las diligencia sin practicar las investigaciones procedentes, prejuzgó, omitiendo las garantías procesales que la Ley otorga, unas conductas que previsiblemente constituían una infracción penal, y al paralizar la continuación del proceso colocó a sus representados en la más absoluta indefensión. En consecuencia, interesa de este Tribunal que declare la nulidad del Auto de 12 de junio de 1986 del Juzgado de Instrucción núm. 1 de Sabadell, recaído en las diligencias previas 596/1985, y el de 28 de octubre de 1986 de la Sección Tercera de la Audiencia Provincial de Barcelona, reconociendo expresamente el derecho de sus representados a la continuación de las diligencias iniciadas para el esclarecimiento de los hechos denunciados en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1987, la Sección Tercera (Sala Segunda) de este Tribunal acuerda conceder a la representación de los recurrentes y al Ministerio Fiscal un plazo común de diez días para que formulen las alegaciones que estimen pertinentes sobre la posible concurrencia de la causa de inadmisión prevista en el articulo 50.2 b) de la Ley Orgánica del Tribunal Constitucional (LOTC): Carecer la demanda manifestamente de contenido que justifique una decisión por parte de dicho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22 de mayo de 1987, el Ministerio Fiscal solicita que, de conformidad con lo dispuesto en el art. 86.1 de la LOTC, se dicte Auto acordando la inadmisión del recurso por concurrir la causa puesta de manifiesto. A tal efecto argumenta que, si bien en algún supuesto el archivo de las actuaciones puede tener contenido constitucional, no ocurre así en el presente caso, ya que los recurrentes no han ofrecido a la consideración del Tribunal más que el Auto de archivo del Juzgado, que por si mismo es insuficiente, y el que resuelve el recurso de apelación, el cual, en su fundamento jurídico único, razona la inexistencia de lo imputado sobre la base de lo probado.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los recurrentes, en escrito presentado el 25 de mayo de 1987, interesa la admisión a trámite del recurso y su sustanciación hasta dictarse Sentencia estimatoria de la pretensión formulada en la demanda. En tal sentido pone de manifiesto que no se cuestiona la potestad del Juez Instructor por acordar el archivo de las diligencias sino el que esta resolución se haya producido antes de haberse practicado un mínimo de averiguaciones que permitieran plasmar con mayor concreción una conducta tipificada en el Código Penal como delito. Y esta cuestión, a su juicio, forma parte del ámbito del amparo por afectar al derecho a la tutela judicial efectiva sin que produzca indefensión, tal como resulta de la doctrina de este Tribunal contenida en las Sentencias de 22 de abril y 23 de julio de 1981. Por último, concluye llamando la atención sobre el grave problema social que se origina cuando la conducta supuestamente delictiva se realiza en relación con la vivienda, y, en particular, cuando se trata de viviendas acogidas a la normativa de protección oficial.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los recurrentes estima, en primer término, que las resoluciones judiciales impugnadas vulneran el derecho fundamental a la tutela judicial efectiva sin que se produzca indefensión, basándose en que los órganos judiciales que conocieron de la querella formulada por sus representados acordaron su archivo, y con ello la paralización del proceso, sin considerar el carácter delictivo de la conducta sobre la que versaba, ignorando así tanto la doctrina del Tribunal Supremo y de la Fiscalía de dicho Tribunal respecto de los arts. 540 y 541 del Código Penal, como lo dispuesto en los arts. 528, en relación con el 529.1.° y 302.4.° del mismo texto legal, en orden a la alteración de las calidades de los materiales empleados en la construcción por los querellados y a la posible declaración falsa en el expediente tramitado por la Generalidad.  Planteada en estos términos, la demanda carece de contenido constitucional, pues el archivo anticipado de las actuaciones penales en la fase instructora, e incluso la misma desestimación de la querella conforme al art. 313 de la L.E.Cr., no supone por sí un desconocimiento del derecho fundamental reconocido en el art.  24.1 de la Constitución, si se obtiene una decisión judicial fundada en tal sentido, como sucede en el presente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Audiencia Provincial, al manifestarse negativamente sobre la subsunción apriorística de los hechos relatados en el escrito de querella -que fueron además objeto de investigación, según reconocen los recurrentes- en los tipos penales previstos en los arts. 541.1.°, 528 y 302.4.° del Código Penal, razona su decisión argumentando que las relaciones entre las partes deben ser tratadas en el ámbito de la jurisdicción civil «en cuanto propias de un contrato de compraventa regulado en los arts.  1.445 y siguientes del Código Civil, fruto de una voluntad libre y no viciada de las partes, por lo que, si ésta no se hubiera dado entre los contratantes, por existir un consentimiento viciado en cuanto a cualquiera de los requisitos del convenio de voluntad, o el objeto del mismo presentara defectos que variasen su esencia, podría acudirse a aquella jurisdicción que resulta la conveniente, sin que puedan ser considerados los hechos imputados en la querella como objeto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también la representación de los recurrentes que se ha infringido el artículo 24.2 de la Constitución, al acordar el archivo de las actuaciones sin haberse practicado las diligencias encaminadas a comprobar los hechos objeto de la querella, siendo éste el único motivo que posteriormente se mantiene en el escrito de alegaciones.  Sin embargo, ha de tenerse en cuenta, por una parte, que, según se relata en. los antecedentes de la demanda, se practicaron, aunque no todas las actuaciones de investigación que los querellantes estimaban precisas, si algunas de las por ellos propuestas, como la declaración de los querellados y el oficio dirigido a la Generalidad, y, por otra, que corresponde a los órganos judiciales determinar la pertinencia de las diligencias propuestas y que en el presente caso no las consideraron imprescindibles ya que, a su juicio, la cuestión planteada era propia de la jurisdicción civil por afectar a relaciones jurídicas derivadas de contratos de compraventa, y, por consiguiente, aun dando por supuesta la existencia de los hechos denunciados, éstos no podían calificarse de delictivos.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conclusión, no puede estimarse que las resoluciones judiciales impugnadas vulneren el art. 24 de la Constitución, ya que se pronuncian razonadamente sobre la valoración jurídica de los hechos objeto de la querella, valoración que les lleva a considerar innecesarias ciertas diligencias propuestas por los querellantes y que no puede ser revisada por este Tribunal por cuanto pertenece al ámbito específico de la potestad jurisdiccional que el art. 117.3 de la Constitución otorga en exclusiva a los Jueces y Tribunales.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