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16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ha examinado la pieza separada de recusación de los recursos de amparo promovidos por don José María Ruiz-Mateos y Jiménez de Tejada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noviembre de 1985 tuvo entrada en este Tribunal escrito de recurso de amparo, al que correspondió el núm. 1.080/1985, interpuesto por don José María Ruiz-Mateos, doña María Teresa Rivero y Sánchez Romate, don Alfonso María Ruiz- Mateos y Jiménez, don Zoilo Ruiz-Mateos y Jiménez, doña Rosario Pérez Luna Gallego, don Rafael Ruiz-Mateos y Jiménez, doña María de las Mercedes Hernando Rodrigo, don Isidoro Ruiz-Mateos y Jiménez, doña María Dolores Albarracín y Jiménez de Tejada, doña María Dolores Ruiz-Mateos y Jiménez y don Alberto Pérez Luna y Gallego, contra el Acuerdo del Consejo de Ministros de 21 de marzo de 1984, por el que se autorizó a la Dirección General del Patrimonio del Estado para que procediese a enajenar directamente a «Arab Banking Corporation», «Banco Exterior de España, S. A.», y «Banco Arabe Español, S. A.», en la proporción del 70 por 100, 25 por 100 y 5 por 100, respectivamente, la totalidad de las acciones representativas del capital social del «Banco Atlántico». Dicho recurso fue admitido a trámite, recabándose y recibiéndose las actuaciones administrativas y judiciales referentes al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10 de junio de 1986 tuvo entrada en este Tribunal escrito de recurso de amparo, al que correspondió el núm. 628/1986, interpuesto por don José María Ruiz- Mateos y Jiménez de Tejada y otras personas contra Acuerdo del Consejo de Ministros de 20 de junio de 1984, por el que se adjudicó el grupo hotelero del holding «Rumasa» a favor de «Hoteles Mallorquines» («Cadena Sol») y «Kuwait Investment Office». Dicho recurso fue admitido a trámite por providencia de 15 de octubre de 1986, y previa audiencia de las partes y del Ministerio Fiscal fue acumulado al 1.080/1985 por Auto de 10 de diciembre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31 de julio de 1986 tuvo entrada en este Tribunal recurso de amparo, al que correspondió el núm. 894/1986, interpuesto por don José María Ruiz-Mateos y Jiménez y otras personas contra acuerdo del Consejo de Ministros de 27 de junio de 1984, por el que se adjudicó el grupo de banca de «Rumasa» a un consorcio bancario. Dicho recurso fue igualmente admitido a trámite por providencia de 19 de noviembre de 1986, y previa audiencia de las partes y del Ministerio Fiscal fue acumulado a los antes referidos 1.080/1985 y 628/1986 por Auto de 21 de enero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tres recursos acumulados fueron sustanciados por sus trámites legales, acordándose por providencia de 1 de julio pasado señalar para la deliberación y votación de los mismos el día 23 de septiembre, nombrándose Ponente al Magistrado don Miguel Rodríguez-Piñero y Bravo-Ferrer.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15 de julio tuvo entrada en este Tribunal un escrito de la representación de los recurrentes promoviendo la recusación del Magistrado Ponente, acordándose por providencia de 16 de septiembre abrir la correspondiente pieza separada y seguir la instrucción de la misma a cargo del Magistrado más antiguo de la Sala a que pertenece el recusado, habiéndose oído sobre la recusación a las partes personadas y al Ministerio Fiscal. Los representantes de los demandados han expuesto que no es estimable la recusación por no concurrir en el recusado causa justificativa y basarse aquélla en meras informaciones periodísticas y en un improcedente concepto de amistad íntima. El Letrado del Estado ha significado que el conocimiento de la supuesta causa de recusación ha de remontarse, cuando menos, al 8 de febrero de 1986, en que se publicó la primera de las informaciones de prensa que se citan. En esa fecha ya pendía el amparo 1.080/1985. El 624/1986 se interpuso el 10 de junio de 1986. Estos dos amparos correspondieron a la Sala Primera, que, tras oír a la representación de los recurrentes, los admitió el 12 de noviembre de 1986. Don Miguel Rodríguez-Piñero formaba parte de la Sala Primera, como también la componía cuando se dictaron los Autos de acumulación de los tres amparos el 10 de diciembre de 1986 y el 21 de enero de 1987. La recusación ha sido promovida el 15 de julio de 1987 extemporáneamente, conforme a lo dispuesto en los arts. 223.1 de la Ley Orgánica del Poder Judicial y 192 de la Ley de Enjuiciamiento Civil, según el cual ésta ha de promoverse «tan luego como» se conozca la causa en que pretenda fundarse. Pero además, dice el Letrado del Estado, la improcedencia de la causa aducida -art. 219.8 de la Ley Orgánica del Poder Judiciales palmaria, total y absoluta. Y esto por varios motivos. La autoridad que dictó el acto por el cual se sigue este proceso no coincide con aquella de la que se predica la «amistad íntima»; aquélla es el Consejo de Ministros, y ésta, el Presidente del Gobierno. Ser la autoridad que dictó el acto no es lo mismo que formar parte de un órgano colegiado de más de quince personas. Por otra parte, abstenerse de desmentir una información de prensa no debe equivaler a reconocer su exactitud o verdad (de otro modo cualquier figura pública tendría la carga de leer o estudiar cuidadosamente todo cuanto difundan sobre ella y de corregir las inexactitudes y falsedades que se publicaran, carga onerosísima y absolutamente injustificada en Derecho). Las informaciones que difunden los medios de comunicación no pueden reputarse adornadas de una presunción de exactitud o de verdad. Ninguna de las informaciones, por otra parte, afirma que la amistad sea de la intensidad que la Ley exige («íntima»). Además, es absurdo suponer que todos cuantos actúan o han actuado como Abogados laboralistas hayan sido y sean, por necesidad, amigos íntimos de quien es enseñó Derecho Laboral en la Universidad. Esto no es una «lógica presunción», sino conjetura arbitraria. Tampoco el ser candidato en la lista de un partido implica amistad personal, y menos aún amistad íntima, con el Secretario general: se puede ser amigo y no candidato, y viceversa. Asimismo es irrelevante que el Magistrado recusado fuera nombrado a propuesta del Gobierno: a efectos de la recusación planteada, lo único que interesa es si existe o no relación de amistad intima entre uno de los componentes del órgano jurisdiccional y una de las partes (en este caso, por tratarse de la Administración Pública, con las personas a que se refiere el art. 220 de la Ley Orgánica del Poder Judicial). Finalmente, el Letrado del Estado pide que se desestime la recusación, con imposición de costas y, en su caso, multa a los promotores del incidente. Por su parte, el Ministerio Fiscal alega que la recusación se ha promovido extemporáneamente, lo que conforme al art. 223 de la Ley Orgánica del Poder Judicial, acarrea su inadmisión a trámite. La causa de recusación alegada fue conocida por el recusante a través de la prensa en noticias publicadas en los meses de febrero y marzo de 1986, y la recusación no se planteó hasta el 13 de julio del corriente año, transcurrido, pues, bastante más de un año desde que se conocieron los hechos que determinan la causa invocada, ya que el único origen de su conocimiento está en haber sido dados a la imprenta. El recurrente afirma que la recusación había sido ya planteada y se le había denegado (se supone que inadmitida) por falta de legitimación. Desde luego, tal recusación no consta que haya sido intentada en ninguno de los tres recursos aquí acumulados. El «tan luego» que recoge el art. 223 citado, equivalente en su significado al «tan pronto» de que habla, por citar un caso, el art. 44.1 c) de la Ley Orgánica del Tribunal Constitucional para invocar la vulneración constitucional y tener expedita la vía de amparo constitucional, exige que la recusación se plantee en plazo razonablemente breve después de conocida la causa alegada. La razonabilidad del plazo en ningún caso puede extenderse a un año bien largo. Da la impresión que la recusación se hace en función de la designación de Magistrado Ponente, siendo así que ni la Ley de Enjuiciamiento Civil, en la parte que pudiera quedar aplicable, ni la Ley Orgánica del Poder Judicial prevén la específica recusación del Magistrado Ponente, sino genéricamente la de cualquier miembro del Tribunal. En cuanto al fondo de la recusación el Ministerio Fiscal alega que la recusación debe ser denegada. En el ATC (Pleno) 109/1981, dictado también en incidente de recusación allí del Presidente del Tribunal por causa análoga a la actual, aunque de signo contrario -enemistad manifiesta-, afirmó que es presupuesto de admisibilidad que el escrito exprese concreta y claramente la causa de recusación, exigencia que, si bien entonces se refería a la Ley de Enjuiciamiento Civil, debe aplicarse por razones lógicas igualmente a la Ley Orgánica del Poder Judicial, aunque nada diga al respecto. Y se añadía que «no basta afirmar un motivo de recusación; es preciso expresar los hechos concretos en que la parte funde tal afirmación y que éstos constituyan -en principio- los que configuran la causa invocada». La reseña periodística -se decía- de la que infiere la causa de recusación, no guarda relación con los conceptos que determinan ésta. En la presente ocasión se apoya el motivo en que la prensa, al informar del curriculum del Magistrado cuestionado, habla de «una antigua amistad» con el Presidente del Gobierno, o de «relaciones de gran amistad» que el Magistrado fue su profesor. Sobre la base de estas afirmaciones periodísticas -dice el Ministerio Fiscalno se puede seriamente montar una causa de recusación. las informaciones de prensa no tienen ningún significado fehaciente, desde luego, en lo que a la conducta de las personas se refiere. La inconsistencia de la alegación hace innecesarias otras consideraciones de fondo. Concluye interesando que se dicte Auto (art. 225.4 de la Ley Orgánica del Poder Judicial) declarando la inadmisión del presente incidente, o bien, en otro caso, la desestimación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Solicitado el recibimiento a prueba al amparo del art. 225 de la Ley Orgánica del Poder Judicial por la parte proponente de la cuestión incidental, y efectuada por la misma la oportuna proposición de prueba, se llevó a cabo ésta mediante interrogatorio de preguntas, con el resultado que en los autos consta.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Hallándose conclusa la instrucción, se designó Ponente en estas actuaciones al Magistrado don Luis Díez-Picazo y Ponce de León, al que pasó la pieza incidental a fin de que por el Pleno de este Tribunal se dicte la resolución procedente.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223 de la Ley Orgánica del Poder Judicial, por la que hoy en día han de regirse en primera línea, como lex posterior, las causas de recusación y de abstención de Jueces y Magistrados, aplicables en el ámbito de la justicia constitucional por imperio de lo dispuesto en el art. 80 de la Ley Orgánica de este Tribunal, dispone que las recusaciones deberán proponerse tan luego como se tenga conocimiento de la causa en que se funden, añadiendo que si dicho conocimiento fuera anterior al pleito habrán de proponerse al inicio del mismo, pues en otro caso no se admitirán a trámite. Tanto el Ministerio Fiscal como el Letrado del Estado han alegado este precepto, pretendiendo que la resolución que se dicte en el incidente, ya abierto y sustanciado, sea de inadmisión.  Resulta claro, en el precepto legal citado, el designio del legislador de que las causas que deban determinar la imposibilidad de que el Juez o Magistrado se pronuncie sobre los asuntos sometidos a él o al órgano colegiado del que forma parte, se realicen de forma perentoria. Por ello, la proposición de la causa sólo se justifica cuando exista un espacio temporal breve entre el conocimiento de ella y la pretensión de recusación que en ella haya de fundarse.  En el presente caso tienen razón el Ministerio Fiscal y el Abogado del Estado al decir que el conocimiento de la supuesta causa de recusación que se alega, ha de remontarse, cuando menos, al 8 de febrero de 1986, en que se publicó la primera de las informaciones de prensa que se citan, habiendo sido nombrado Magistrado el recusado el día 21 de febrero de 1986 sin que se justifique el carácter tardío de la proposición la designación del recusado como Magistrado Ponente, pues ello no determina ninguna razón especial de recusar, ni puede reconocerse al Ponente papel más relevante o de mayor influencia que a cualquier otro de los componentes del órgano colegiado.  Debemos concluir, por tanto, que, efectivamente, la presente recusación es notoriamente tardía, y que este hecho debe valorarse al enjuiciar la seriedad de su fundamentación.  No es posible, en cambio, acceder a la pretensión del Ministerio Fiscal y del Abogado del Estado, de que ello determine, en este momento, una vez sustanciado el incidente, una decisión de inadmisión. Y ello por dos tipos de razones.  La primera es que la inadmisión a trámite la prevé el art. 223 de la Ley Orgánica del Poder Judicial para los casos de conocimiento de la causa de recusación anterior al pleito, en que exige que se proponga precisamente al inicio del mismo, pero no establece tal sanción, por lo menos de forma expresa y textual, para la infracción de la regla general de la perentoriedad. A ello debe añadirse que la regla del art. 223 hubiera tal vez justificado la sanción que en él se establece, esto es, la no admisión a trámite, en el momento inicial, pero no la conversión de lo que fuera posible causa de inadmisión en causa de desestimación, conversión que la Ley no prevé y que no hay tampoco base sólida para inducir de la interpretación de la propia Ley.  Ello hace necesario adentrarse en el tema de la solidez y la fundamentación de la causa de recusación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219 de la antes citada Ley Orgánica del Poder Judicial, al hacer el elenco de las causas de abstención y de recusación menciona la amistad íntima y la enemistad manifiesta, «con cualquiera de los expresados en el art.  anterior», lo que, según el contexto, debe considerarse referido a quienes sean partes en el pleito o causa.  Se restringen así, y se puntualizan, los términos en que se encontraban concebidos los arts.  189 de la Ley de Enjuiciamiento Civil y 54 de la Ley de Enjuiciamiento Criminal, que hablaban de amistad íntima o enemistad manifiesta, sin más aditamentos, lo que dio lugar a alguna vacilación en la jurisprudencia del Tribunal Supremo. En ella, las Sentencias más antiguas mantuvieron siempre la línea interpretativa según la cual la amistad debe producirse entre el Juez o Magistrado y las partes del litigio, sin que pueda aplicarse a otro tipo de situaciones de relación indirecta (por ejemplo, las Sentencias del Tribunal Supremo, Sala Primera, de 1 de diciembre de 1882 y 9 de noviembre de 1906), mientras que una jurisprudencia más reciente, especialmente en las Sentencias de la Sala Segunda (véase, por ejemplo, Sentencia de 19 de noviembre de 1983) ha señalado que la expresión de la Ley es hartamente lacónica por falta de aditamento que la perfile y que ello ha dado origen a encontradas y diversas opiniones entre los tratadistas y estudiosos, proclives unos a la interpretación del precepto en el sentido de cobijar en su seno a los Abogados y Procuradores de las partes, además de otros casos a los que pudieran también ampliarse, línea esta que la Sentencia últimamente citada, entre otras, acepta entendiendo que no puede llenarse el vacío con fórmulas simplistas y ha de entenderse con aspecto más amplio y conciliador al verdadero fundamento de la regla. En la actualidad, como más arriba dijimos, el art. 219 de la LOPJ ha zanjado la cuestión, imponiendo la interpretación restrictiva, lo que hace de todo punto inacogible la pretendida causa de recusación, por no ser la persona con quien se supone que la amistad íntima se tiene, parte en el asunto, interviniente en él, y limitar su condición a la de Presidente del órgano colegiado cuyo acto se enjuicia. Mas aunque pudiera suponerse que después del art. 219 es lícita todavía la interpretación extensiva, tampoco podría acogerse la pretensión que aquí se examina, por las razones de que se hará mérito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todo hay que subrayar que la causa de la recusación alegada no ha recibido ningún tipo de probanza o demostración. Los recortes de prensa que con el escrito de proposición del incidente se acompañan, pueden demostrar la existencia de un estado de opinión en algún concreto sector de ella, pero no son real prueba de los hechos constitutivos de la causa de recusación y menos todavía de los elementos del supuesto de hecho de la norma que prescribe la causa de recusación.  Como la parte que ha propuesto la recusación reconoce en su escrito del pasado día 5 de noviembre,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Ninguna de estas características pueden aplicarse a la relación que aquí se examina, pues si bien ha sido una relación de conocimiento y de trato ocasional, no consta que haya adquirido en ningún momento las características que se acaban de mencionar, para ser calificada, en los términos antedichos, como amistad, y, menos todavía, como amistad íntima.  Ha querido hacer hincapié la parte que ha propuesto esta cuestión, en la designación por el Gobierno del Magistrado recusado y en la afinidad ideológica con el partido político que sostiene al Gobierno, mas ninguno de esos datos poseen la relevancia que la parte quiere darles. Que dos de los Magistrados del Tribunal Constitucional han de ser designados por el Gobierno es mandato de la Constitución y tal mandato ha de aplicarse con referencia a las causas de recusación, que por ello son, con referencia a ese solo dato, de imposible aplicación.  Lo mismo ha de decirse de las posibles afinidades ideológicas, no probadas por lo demás, que nada tienen que ver con la causa de recusación propuesta. La Ley Orgánica de este Tribunal, de aplicación prioritaria respecto de la Ley Orgánica del Poder Judicial y de la Ley de Enjuiciamiento Civil no impide que los Magistrados de este Tribunal puedan pertenecer a partidos políticos -situación esta aún más vigorosa que la que se alega- y sólo les impide ocupar dentro de los partidos cargos de carácter directivo, pues una posible afinidad ideológica no es en ningún caso factor que mengüe la imparcialidad para juzgar los asuntos que según su Ley Orgánica este Tribunal debe decidir.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Conforme dispone el art. 227.1 de la Ley Orgánica del Poder Judicial, la desestimación de la recusación debe llevar consigo la condena en costas del recusante, por no concurrir en el presente incidente circunstancias excepcionales que, como señala el citado precepto, justifiquen otro pronunciamiento.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 este Tribunal acuerda desestimar la recusación formulada por la parte demandante de amparo, con expresa condena a la misma del pago de las costas causadas en el incidente.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