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4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Augusto Borderas Gaztambide.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Dorremochea Aramburu, en nombre de don Augusto Borderas Gaztambide, interpone recurso de amparo, mediante escrito que tuvo su entrada el 4 de diciembre de 1987, presentado en el Juzgado de Guardia el 3 de diciembre, contra Auto de la Sala de lo Civil de la Audiencia Territorial de Pamplona, de 9 de noviembre de 1987. 2. Los hechos en que se funda la demanda, tal como se deducen de sus términos y de la documentación aportada, son en esencia los siguientes: a) Se exponen, en primer lugar, antecedentes de hechos relativos a la ejecución provisional de Sentencia de 7 de septiembre de 1985, dictada en juicio ordinario de mayor cuantía y en grado de apelación por la Sala de lo Civil de la Audiencia Territorial de Pamplona, que dieron lugar al recurso de amparo 1.360/87, interpuesto en su día por el ahora solicitante de amparo, así como por doña María Pilar Borderas Gaztambide. b) En dicha ejecución provisional, la parte ejecutante y portadora del correspondiente exhorto expedido por dicha Audiencia Territorial solicitó del Juzgado de Primera Instancia de Tudela el embargo de bienes. c) Practicadas determinadas diligencias de embargo de bienes de doña María Pilar, María del Carmen y don Augusto Borderas Gaztambide, éste solicitó por escrito de 14 de abril de 1987 que se dejase sin efecto la subasta de una casa sita en Tudela. d) El Juzgado de Primera Instancia núm. 1 de Tudela resolvió no haber lugar a ello por Auto de 20 de abril de 1987. e) Interpuesto por el ahora demandante de amparo contra la resolución anterior recurso de reposición, fue desestimado por Auto de 11 de mayo de 1987. f) Por Auto de la Sala de lo Civil de la Audiencia Territorial de Pamplona de 9 de noviembre de 1987, fue desestimado el recurso de apelación interpuesto por el ahora solicitante de amparo contra el Auto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exponen diversas razones relativas a ciertas pretendidas irregularidades producidas en la tramitación del exhorto o en la práctica de las diligencias de embargo. Se citan como infringidos los arts. 14 y 24.1 C.E., entendiéndose que se han empleado distintos criterios de diligencia con unos y con otros, que rompe el principio de igualdad, así como que se ha producido «ausencia de la tutela efectiva de Jueces y Tribunales que produce indefensión por subastarse algo no embargado y a mayor abundamiento comprobado que tal embargo no se había efectuado al no actuar los comisionados del Juez». Se solicita que se declare la nulidad del Auto de la Sala de lo Civil de la Audiencia Territorial de Pamplona de 9 de noviembre de 1987, así como la nulidad de todas las actuaciones basadas en el embargo supuestamente hecho a don Augusto Borderas Gaztambide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18 de abril, la Sección Segunda puso de manifiesto al recurrente y al Ministerio Fiscal la posible existencia de la causa de inadmisión a que se refiere el art. 50.2 b) de la LOTC (en su redacción anterior a la Ley Orgánica 6/1988), por carencia manifiesta de contenido constitucional de la demanda. Dentro del plazo concedido por la mencionada providencia ha presentado la representación del recurrente escrito de alegaciones en las que reitera sin ningún cambio sustancial las ya hechas en la demanda. El Ministerio Fiscal, por su parte, pide la inadmisión de la demanda, puesto que las irregularidades que el recurrente denuncia carecen de trascendencia constitucional y las respuestas que los órganos judiciales han dado a los diferentes recursos en los que el señor Borderas Gaztambide alegaba la violación de su derecho a la tutela judicial efectiva, razonan suficientemente sobre la inexistencia de la supuesta indefensión. Por último, añade el Fiscal, la supuesta violación del art. 14 de la Constitución se alega de manera puramente retórica y sin fundamentación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Las profusas razones expuestas en la demanda con notable falta de claridad pueden sintetizarse en la afirmación de que, de una parte, se han producido irregularidades procesales (por ejemplo, la falta de firma del Agente Judicial en la notificación de una providencia de embargo), que vician de nulidad radical determinadas actuaciones; de la otra, que se ha producido una violación del principio de igualdad porque se ha exigido al Procurador del recurrente una diligencia que, en cambio, no se exigía al Procurador de la parte contraria y, por último, que se ha colocado al recurrente en una situación de indefensión porque, habiéndosele notificado el embargo de un piso, se ha embargado después la totalidad de la casa en la que el mismo se ubicaba.  La simple exposición de estas razones evidencia, en la que toca a las dos primeras, al menos, su total inconsistencia. Como muchas veces ha declarado este Tribunal, el art. 24 de la Constitución no ha dado rango constitucional a todas las leyes procesales y los defectos de procedimiento carecen, en consecuencia, de relevancia constitucional en cuanto no afecten al contenido de los derechos que el art. 24 C.E. garantiza. De otra parte, no se percibe en qué ha consistido la diferencia de trato dada a los Procuradores de las distintas partes ni se ve tampoco en que esa diferencia de trato, de existir, habría violado el derecho a la igualdad en la aplicación de la Ley del señor Borderas Gaztambide.  Resta, por último, la supuesta violación del derecho a la tutela judicial efectiva por la aparente discordancia entre la notificación de la providencia de embargo y el embargo efectivamente realizado.  Esa discordancia radica en que en la diligencia de notificación se habla de un piso, en tanto que lo embargado fue una casa.  Sucede, no obstante, que como ya señalaron los órganos judiciales contra cuyas resoluciones se acude ante nosotros, en la misma diligencia de embargo se hicieron constar, con absoluta precisión, los datos de inscripción registral de la casa en cuestión que es propiedad indivisa del señor Borderas y de sus hermanas, a quienes también el embargo les había sido notificado en ese caso, sin error alguno en la designación del bien y que tampoco se produjo error alguno en la designación en el momento de requerir al señor Borderas para que presentase la documentación acreditativa de la propiedad. El error inicial no ha colocado por tanto, en ningún momento, al señor Borderas Gaztambide en la situación de indefensión para la que pide nuestro amparo en virtud de una argumentación que no cabe por menos de calificar de temeraria, lo que nos obliga a hacer uso de la facultad que nos confiere el art. 95.3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a trámite de la presente demanda y la imposición al recurrente de una multa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