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Sección Segunda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165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1989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3 de abril de 1989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