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604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11 de diciembre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Domingo Lago Pato, en nombre y representación de don Manuel Rosa Recuerda, por escrito que tuvo entrada en este tribunal el 6 de octubre de 1989, interpone recurso de amparo contra la sentencia de la Sala de Conflictos del Tribunal Supremo de 7 de julio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amparo se basa en los siguientes hechos: sancionado el recurrente por supuesta comisión de una falta grave por el director general de la Guardia Civil, interpuso recurso contencioso-administrativo al amparo de lo establecido por la Ley 62/1978, de protección jurisdiccional de los derechos fundamentales de la persona (LPJDF), recurso que fue admitido a trámite por la Sala de lo Contencioso-Administrativo del Tribunal Superior de Justicia de Andalucía. La Sala de Justicia del Tribunal Militar Central planteó conflicto de jurisdicción ante la sala de lo contencioso-administrativo citada, que negó la inhibición formalizándose con ello el conflicto a tenor de lo previsto por el art. 26 de la Ley Orgánica 2/1987, de 18 de mayo, de conflictos jurisdiccionales (LOCJ).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los correspondientes trámites procesales, la Sala de Conflictos del Tribunal Supremo dictó la sentencia ahora objeto de recurso de amparo declarando que la competencia controvertida corresponde a la jurisdicción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fundamenta su solicitud de amparo en la vulneración del art. 24 de la Constitución española (CE) por entender que es la jurisdicción ordinaria y no la castrense la competente para conocer de la acción planteada según lo previsto en la Ley de protección jurisdiccional de los derechos fundamentales de la persona. Mediante otrosí se solicita que “se proceda a dejar en suspenso la ejecución del acto originario del amparo, esto es, el expediente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noviembre la Sección Segunda de la Sala Primera de este tribunal acuerda admitir a trámite la demanda así como abrir la correspondiente pieza separada de suspensión, concediendo un plazo común de tres días al Ministerio Fiscal y al solicitante de amparo para que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20 de noviembre de 1989, el abogado del Estado se persona en el recurso por tener interés en el asunto la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escrito de 17 de noviembre de 1989, realiza las oportunas alegaciones, remitiéndose para ello al escrito presentado en el asunto registrado con el número 1800-1989. Mantiene, en primer lugar, que en la demanda no existe petición de suspensión propiamente dicha ya que el recurrente sustancia allí una pretensión idéntica al fondo del asunto así como una petición de libertad que nada tiene que ver con la sentencia recurrida. Entendiendo la petición de suspensión dirigida a la sentencia impugnada, cuyo objeto coincide básicamente con el de dos cuestiones de inconstitucionalidad planteadas ante el Tribunal Constitucional, sostiene que si se declararan inconstitucionales los preceptos de la Ley Orgánica procesal militar (LOPM) que crean el proceso disciplinario-militar preferente y sumario, la sentencia ahora impugnada carecería de base legal y haría especialmente dificultoso el cumplimiento de lo que sería un fallo estimatorio del amparo. En consecuencia solicita que se acceda a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escrito que tuvo entrada en el registro del Tribunal Constitucional el 17 de noviembre de 1989, realiza sus alegaciones. Entiende dicha representación que la no suspensión de la sentencia de la Sala de Conflictos del Tribunal Supremo, de 7 de julio de 1989, conflicto núm. 10-1988, acarrearía graves perjuicios para su defendido. Para ello argumenta que la jurisdicción competente para conocer del recurso contencioso-administrativo es la ordinaria y no la militar, por lo que debe procederse a decretar la suspensión que no causa perjuicio grave alguno ni al interés general, ni a los derechos fundamentales o libertades públicas de terceros. Por otrosí solicita que se fije afianzamiento por los perjuicios graves que el actor está sufriendo.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por escrito de 20 de noviembre de 1989, realiza sus alegaciones. Sostiene, en primer lugar, que la suspensión sólo puede entenderse solicitada respecto de la sentencia dictada por la Sala de Conflictos del Tribunal Supremo, resolución impugnada en amparo. Esta se solicita exclusivamente en relación con la sanción disciplinaria que no es objeto de conocimiento en el presente recurso. Respecto de la sentencia ocurrida, no puede entenderse solicitada su suspensión. En todo caso no procedería decretar su suspensión. En primer lugar, la existencia de cuestiones de inconstitucionalidad pendientes sobre el mismo tema no afecta al presente caso ya que la fundamentación es distinta, sin incidir, en todo caso, sobre la existencia o no de perjuicios nacidos de la ejecución del acto impugnado en amparo, única cuestión valorable en esta pieza incidental. En segundo lugar, las sentencias de la Sala de Conflictos tienen efectos que trascienden del caso concreto generando seguridad jurídica. Por otro lado, aunque no se suspendiera, una vez se dictara la sentencia correspondiente por la jurisdicción militar sobre la regularidad de la sanción en que trae su origen remoto el presente recurso, el actor podría en todo caso recurrir esa sentencia ante este tribunal. Por fin, la doctrina del Tribunal Constitucional sentada en la sentencia de 16 de noviembre pasado hace extremadamente difícil que pueda admitirse la existencia de perjuicio alguno generado por la sentencia aquí recurrida de la Sala de Conflictos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primera cuestión a resolver se encuentra la relativa al objeto mismo de la petición de suspensión. El abogado del Estado indica en sus alegaciones que en la demanda se ha solicitado la suspensión de la sanción disciplinaria en que trae su causa lejana el presente amparo sin que pueda accederse a dicha petición por cuanto, a pesar de esa conexión mediata, el objeto del recurso de amparo no es la sanción sino la sentencia dictada en el conflicto de jurisdicción surgido con ocasión de la revisión de aquella sanción por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la petición de suspensión así entendida no podría prosperar por cuanto afecta a una resolución que no es objeto de conocimiento en esta causa de amparo. Ahora bien, también es cierto que en las alegaciones realizadas por el recurrente en esta pieza separada se subsana el anterior error concretando la petición de suspensión respecto de la sentencia de la Sala de Conflictos del Tribunal Supremo de 6 de octubre de 1989, solución, esta sí, objeto del presente amparo. Esta subsanación, unida al hecho de que tanto el Ministerio Fiscal como el propio abogado del Estado han formulado sus alegaciones refiriéndose a la procedencia o no de suspender la Sentencia dictada, permiten a este tribunal pronunciarse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Centrado el objeto de la presente pieza tal y como se ha señalado, debe indicarse, en primer lugar, que en ningún caso pueden acogerse las alegaciones de la representación del recurrente. Ello porque basa su petición exclusivamente en la incompetencia de la jurisdicción militar para conocer del recurso contencioso­administrativo pendiente, siendo esta argumentación el fondo de la cuestión planteada, que, en cuanto tal, obviamente no puede resolverse en este trámite incidental cuya única finalidad es adoptar o no una medida cautelar como es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56.1 de la LOTC dispone que podrá suspenderse la ejecución de los actos de los poderes públicos por razón de los cuales se solicite el amparo “cuando la ejecución hubiere de ocasionar un perjuicio que haría perder al amparo su finalidad”, añadiéndose que, no obstante, podrá denegarse la suspensión “cuando de esta pueda seguirse perturbación grave de los intereses generales, o de los derechos fundamentales o libertades públicas de un tercero”. En el presente caso, no cabe duda de que si no se suspendiera la sentencia impugnada y posteriormente prosperara el recurso de amparo planteado, la eficacia de este sería escasa, por no decir nula, ya que la hipotética lesión de derechos se habría consumado: el juicio por parte de un órgano judicial incompetente Por el contrario, la suspensión de la ejecución no causaría daño alguno a terceros ni al interés general. A este respecto, y frente a lo manifestado por el abogado del Estado, no puede oponerse un hipotético efecto de seguridad jurídica de las sentencias de la Sala de Conflictos que trasciende al caso concreto. Ello porque, cuestionada como está la competencia de una jurisdicción, —no solo en este asunto y en otros similares, sino también en dos cuestiones de inconstitucionalidad,— la suspensión incidirá también reflejamente en relativizar el valor de una doctrina hasta que no se resuelva sobre la existencia o no de lesión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tampoco puede invocarse la doctrina sentada por este tribunal en la reciente sentencia de 16 de noviembre de 1989, asuntos 1340-1987 y 612-1988 acumulados. En primer lugar, los supuestos resueltos en esos casos no son iguales al que subyace en el presente amparo; pero, además, la propia sentencia señala su alcance al indicarse que el análisis de los problemas en esa ocasión suscitados “deberá formularse no en términos abstractos (como si estuviéramos ante un recurso de inconstitucionalidad), sino muy ceñidos a la presente pretensión de amparo, dejando para futuras resoluciones, relativas a otros tantos procesos pendientes ante este Tribunal, el examen de los aspectos y preceptos a cada caso concernientes” (FJ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también señalar ante las imprecisiones del escrito de alegaciones del actor, aunque resulte obvio, que al decretarse la suspensión de los efectos de la sentencia recurrida no se está atribuyendo automáticamente al conocimiento del recurso contencioso-administrativo en cuyo seno se planteó el conflicto en la jurisdicción ordinaria y la militar a la primera. La suspensión significa que, al no desplegar sus efectos el fallo, la causa originaria queda en la misma situación en que estaba en el momento anterior a dictarse la Sentencia de la Sala de Conflictos del Tribunal Supremo mientras no se decida por este tribunal respecto de la regularidad constitucional o no de la resolución aquí impugnada. Esa situación no es otra que la de suspensión, según se deduce del art. 26 LOCJ.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actor solicita asimismo que se decrete el afianzamiento de la suspensión por los graves perjuicios que está sufriendo el actor. Resulta clara la improcedencia de esta petición que no se concreta mínimamente, sin alcanzarse tampoco a ver qué conexión puede tener en términos económicos la suspensión con el objeto de la presente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suspensión de la ejecución de la sentencia de la Sala de Conflictos del Tribunal Supremo de 7 de julio de 1989.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