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Velasco Muñoz-Cuéllar, en nombre de don José Morell Miró y mediante escrito presentado el 12 de noviembre de 1994, interpuso recurso de amparo contra las dos Sentencias (primera y segunda) que la Sala Segunda del Tribunal Supremo dictó el 18 de octubre de 1994, en recurso de casación contra la pronunciada por la Audiencia Provincial de Barcelona el S de abril de 1993. En la demanda de amparo se dice que la decisión del mencionado Tribunal incide en lesión de los derechos fundamentales del recurrente a la tutela judicial efectiva y a la defensa (art. 24, apartados 1. y 2. , C.E.), con el consiguiente resultado de indefensión proscrito en el apartado 1 del mencionado precepto constitucional,. y se pide que, con reconocimiento de los citados derechos fundamentales, se declare la nulidad de las Sentencias impugnadas y se restablezca a aquél en la integridad de los mencionados derechos fundamentales, ordenándose a la Sala Segunda del Tribunal Supremo que tenga como comparecidos y parte al procurador don Francisco Velasco Muñoz-Cuéllar y a la Letrada doña María Pilar Cabré Coll en su representación y defensa y mandando seguir con los mismos los sucesivos trámites del recurso. En el lugar correspondiente de la demanda de amparo también se interesa la suspensión de la ejecución de las Sentencias recurridas, puesto que dicha ejecución, al conllevar el cumplimiento de una pena de prisión, ocasionaría al recurrente un perjuicio que haría perder al amparo su finalidad, sin que la suspensión haya de ocasionar perturbación grave de los intereses generales, ni de los derechos fundamentales y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 de octubre de 1995,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ha evacuado el anterior traslado en escrito presentado el 6 de octubre, reiterando su petición de suspensión y alegando que la ejecución comportaría su ingreso en un establecimiento penitenciario para el cumplimiento de la pena de prisión menor que se le impuso, perdiendo el amparo que se le otorgase su finalidad habida cuenta la duración de aquella pena (seis meses y un día) y la previsible de este proceso constitucional. Lo mismo hay que decir de la sanción pecuniaria, ya que su no satisfacción entrañaría la privación de su libertad. Por otra parte, es obvio que la suspensión interesada en absoluto puede provocar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que presentó el 10 de octubre y con fundamento en las resoluciones de este Tribunal que cita, estima procedente la suspensión de la ejecución de la pena privativa de libertad, de las penas accesorias y del arresto sustitutorio.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esta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sin perderla de vista, con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con una más intensa protección, entre las cuales se encuentra la libertad personal (art. 17.1 C.E.), soporte de las demás.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necesidad de suspender la ejecutoriedad de las sentencias impugnadas en este aspecto, extensible al arresto sustitutorio por impago de la multa (AATC 319/1985, 757/1985 y 382/1990) y a las penas restrictivas de derechos (ATC 144/1984), ya que, en caso contrario, el eventual otorgamiento de amparo habría perdido su finalidad práctica, pues el actor tendría cumplida para entonces la pena de prisión y, en su caso, el arresto sustitutorio, ambos de corta duración (AATC 98/1983, 179/1984, 574/1985, 116/1990 y 120/1993).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condena al pago de las costas no es sino una prestación de dar, obligación pecuniaria en suma, cuantificada y recuperable en principio, incluido el perjuicio sufrido por el lucro cesante, aun cuando esta afirmación admita matizaciones en función de circunstancias objetivas (cuantía) y subjetivas (situación económica del condenado), sin mencionar la depreciación monetaria. Por esta su naturaleza ha merecido trato distinto, permitiéndose la ejecución con o sin afianzamiento. Ahora bien, en este caso ni siquiera se alega que el pago de tal cantidad haya de irrogar perjuicio alguno, capaz de hacer que el amparo perdiera su finalidad si llegare a buen puerto. Por ello, queda en pie el criterio general de respetar la efectividad de las Sentencias cuyos efectos sean exclusivamente patrimoniales, que nos impide extender a este pronunciamiento la medida cautelar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 la Sala acuerda suspender la ejecución de las Sentencias impugnadas en lo que se refiere a las penas privativas de libertad, a las accesorias y, en su caso, al arresto sustitutorio por impago de la multa, manteniendo la</w:t>
      </w:r>
    </w:p>
    <w:p w:rsidRPr="" w:rsidR="00AD51A7" w:rsidRDefault="008777C4">
      <w:pPr>
        <w:rPr/>
      </w:pPr>
      <w:r w:rsidRPr="&lt;w:rPr xmlns:w=&quot;http://schemas.openxmlformats.org/wordprocessingml/2006/main&quot;&gt;&lt;w:szCs w:val=&quot;24&quot; /&gt;&lt;/w:rPr&gt;">
        <w:rPr/>
        <w:t xml:space="preserve">ejecutoriedad del pronunciamiento sobre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