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16 de junio de 1993 el Procurador de los Tribunales don Luis Alfaro Rodríguez en nombre y representación de don José Riera Casadevall y la sociedad anónima «Juan Riera Gubau, S. A.» interpuso recurso de amparo contra los Autos dictados por el Tribunal Supremo el 24 de septiembre de 1992 y el 18 de marzo de 1993. En la demanda se nos cuenta que el 16 de enero de 1990 la Audiencia Provincial de Barcelona dictó Sentencia desestimando los dos recursos de apelación interpuestos por demandante y demandado contra la Sentencia del Juzgado de Primera Instancia de Santa Coloma de Farnés en juicio de menor cuantía, que declaraba la resolución del contrato de arrendamiento concertado entre don Juan Riera Gubau y la entidad actora «Juan Riera Gubau, S.A.» que fue condenada a desalojar las instalaciones que ocupaba. Formulado recurso de casación al amparo de los motivos previstos en el art. 1.692 L.E.C. números 2, 4 y 5. , el Tribunal Supremo dictó Auto el 24 de septiembre de 1992 declarándolo inadmisible por «manifiesta carencia de fundamento, nueva causa de inadmisión incorporada al art. 1.710.1.1.ª L.E.C. por la 10/92. Por escrito de 7 de octubre de 1992, la representación procesal de los recurrentes pidió la aclaración de la anterior resolución en tres extremos, que fue denegada por Auto de 18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imputa a la resolución judicial impugnada la vulneración del art. 24 de la C.E. que reconoce el derecho a la tutela judicial efectiva y proscribe la indefensión. A tal efecto, se aduce que se le ha privado de su derecho a la utilización del recurso de casación y se ha infringido el derecho de audiencia garantizado por el citado precepto, además por el art. 1.710.3 L.E.C. El Tribunal Constitucional ha precisado que el derecho a la tutela judicial efectiva implica no sólo derecho al proceso sino también a los recursos legalmente establecidos (SSTC 54/1984, 87/1992) y por tanto la inadmisión indebida de un recurso incide en ese derecho constitucional garantizado en el art. 24 C.E. (STC 161/1986, entre otras). El recurso era admisible, pues el retraso imputable al Tribunal sentenciador no puede hacer decaer el derecho del recurrente. Por otra parte, la inadmisión se ha dictado sin tener en cuenta las limitaciones de la nueva legislación. Por otra parte, la nueva regla 3.ª del art. 1.710 L.E.C. establece el principio de contradicción, sin embargo de lo cual no se dio audiencia a las partes antes de dictar el Auto impugnado, quedando indefensa la recurrente. Por todo ello, suplica el otorgamiento del amparo y la anulación de los Autos del Tribunal Supremo de 24 de septiembre y 8 de octubre de 1993 que inadmitieron el recurso de casación deducido contra la Sentencia de la Audiencia Provincial, reconociendo al demandante su derecho a que el recurso de casación sea resuelto en cuanto al fondo o, subsidiariamente, que se declare el derecho a ser oídos, por plazo de diez días, en torno a la causa de inadmisión declarada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en providencia de 10 de noviembre de 1993, acordó, a tenor de lo dispuesto en el art. 50.3 de LOTC, conceder un plazo común de diez días al Ministerio Fiscal y al solicitante de amparo, para que en dicho término alegaran lo que estimaran pertinente, en relación con la posible concurrencia del motivo de inadmisión previsto en el art. 44.2 LOTC, sobre posible extemporaneidad por interposición de recursos manifiestamente improcedentes.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en el escrito presentado el 17 de noviembre de I993, argumentaron que el recurso se había interpuesto dentro del plazo de veinte días que concede la LOTC, porque la aclaración no es un recurso, sino un medio para conocer el alcance de la resolución judicial, a tenor del art. 267 L.O.P.J. y, por tanto, hasta que ésto se efectúe o se deniegue, no es posible interponer el recurso de amparo. En definitiva, el dies a quo para formular este recurso contra una resolución judicial en tal caso es aquél en que se notifica a las partes el Auto admitiendo o denegando la aclaración. Por otra parte, la aclaración no puede considerarse manifiestamente improcedente, habida cuenta las omisiones del Auto impugnado. </w:t>
      </w:r>
    </w:p>
    <w:p w:rsidRPr="00C21FFE" w:rsidR="00AD51A7" w:rsidRDefault="008777C4">
      <w:pPr>
        <w:rPr/>
      </w:pPr>
      <w:r w:rsidRPr="&lt;w:rPr xmlns:w=&quot;http://schemas.openxmlformats.org/wordprocessingml/2006/main&quot;&gt;&lt;w:lang w:val=&quot;es-ES_tradnl&quot; /&gt;&lt;/w:rPr&gt;">
        <w:rPr/>
        <w:t xml:space="preserve">Finalmente, la aclaración hubiese evitado la formulación de este recurso y, si se hubiere dictado dentro del plazo legal de un día, el amparo se hubiera formulado dentro de los veinte días desde la notificación de la resolución y de la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aduce que la demanda es extemporánea, pues que la aclaración interesada sólo perseguía dilatar el procedimiento, era totalmente improcedente y, por tanto, tras recordar los criterios de este Tribunal, consideró que el plazo para la presentación de la demanda de amparo debe contarse a partir de la notificación del Auto de 24 de septiembre de 1992 por ello, al haberse presentado la demanda el 16 de junio de 1993, era claramente extemporánea.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amparo que se nos pide puede ser contemplado, en este umbral del proceso, desde dos perspectivas. Una formal, que implicaría la inadmisibilidad por darse una causa de tal tipo, la extemporaneidad de la pretensión, cuyo eventual fundamento sena la utilización de un recurso notoriamente improcedente, el sedicente de aclaración en el cual se injerta una petición de nulidad de las actuaciones, con una carga problemática impropia de esta fase preliminar. La otra perspectiva tiene, en cambio, una dimensión sustantiva por consistir en la carencia manifiesta de contenido constitucional desde el momento en que la cuestión litigiosa ha sido solventada ya en esta sede y, además, desfavorablemente para la posición dialéctica del demandante. En efecto, las incógnitas que se plantean en este proceso han dejado de serlo como consecuencia de haberlas despejado de una vez por todas una reciente Sentencia del Pleno de este Tribunal Constitucional (STC 37/1995) que rectifica el criterio mantenido al respecto, para un caso idéntico, por la Sala Primera (STC 212/1994) a tenor del art. 13 de nuestra Ley orgánica, como se explica en nuestro ATC 78/1995. En una y otro se dice que, como consecuencia de haberse promulgado la Ley 10/1992, de 30 de abril, un Auto dictado el 24 de septiembre de 1992 por la Sala Primera del Tribunal Supremo, contra el cual se pide aquí y ahora amparo constitucional, consideró inadmisible un recurso de casación preparado e interpuesto con posterioridad a la entrada en vigor, utilizando como fundamento un motivo creado ex novo, sin la audiencia de la parte. La pretensión busca cobijo en el derecho a la tutela judicial efectiva sin tacha de indefensión y en aquellos otros instrumentales que le sirven de acompañamiento (art. 24.1 y 2 C.E.). Situados en el perímetro de éste, desde la concepción genérica y global que parece la más adecuada al caso, es claro que conlleva varias exigencias entrelazadas. La primera de ellas, que la pretensión formulada ante el Juez competente al efecto reciba una respuesta no sólo en la primera instancia sino también en los demás grados procesales, si los hubiere, sean ordinarios o extraordinarios. En tal sentido hemos dicho muchas veces, en estas o en otras palabras, que una vez diseñado el sistema de recursos por las leyes de enjuiciamiento de cada orden jurisdiccional, el derecho a su utilización pasa a formar parte del contenido de la tutela judicial, tal y como se regula en ellas y por tanto puede resultar menoscabada si se impide el acceso a las instancias supraordenadas arbitrariamente o con fundamento en un error material (SSTC 55/1993 y 28/1994).  Tal respuesta, por otra parte, ha de recaer en principio sobre el aspecto sustantivo de la controversia, lo que en el lenguaje forense suele llamarse el fondo de la cuestión, aun cuando también pueda consistir, según los casos, en una resolución sobre los aspectos extrínsecos o formales de la pretensión, como su admisibilidad o la extinción del proceso, que impida llegar a ese fondo. Ahora bien, esto sólo puede ocurrir cuando la inadmisión se funde en razones establecidas por el legislador, que deba al mismo tiempo considerarse como proporcionadas en relación con los fines constitucionalmente protegibles a que los requisitos procesales pretenden atender (SIC 43/1985).</w:t>
      </w:r>
    </w:p>
    <w:p w:rsidRPr="00C21FFE" w:rsidR="00AD51A7" w:rsidRDefault="008777C4">
      <w:pPr>
        <w:rPr/>
      </w:pPr>
      <w:r w:rsidRPr="&lt;w:rPr xmlns:w=&quot;http://schemas.openxmlformats.org/wordprocessingml/2006/main&quot;&gt;&lt;w:lang w:val=&quot;es-ES_tradnl&quot; /&gt;&lt;/w:rPr&gt;">
        <w:rPr/>
        <w:t xml:space="preserve">A este tipo pertenece, sin duda, la causa de inadmisibilidad consistente en que «el recurso carezca manifiestamente de fundamento» (art. 1.710. 1. 3.  L.E.C.)  introducida por la Ley 10/1992 como obstativa a la viabilidad de la casación, con un contenido abstracto cuya determinación es tarea privativa del Juez ordinario por estar implicadas en ella las operaciones jurídicas que son inherentes a la función de juzgar, cuya es según la Constitución. La selección de la norma, incluso en su dimensión temporal, su interpretación y la concreción del supuesto de hecho mediante la admisión de las pruebas pertinentes y la valoración de ese acervo, en su caso, no resultan fiscalizables en sede constitucional, salvo que se desviaren notoriamente de la racionalidad, como directriz de la decisión, para incurrir en la arbitrariedad, proscrita por el art. 9 de la Constitución. En tal sentido hemos dicho ya que corresponde a la Sala Primera del Tribunal Supremo la última palabra sobre la admisibilidad de los recursos de casación ante ella interpuestos, así como verificar si concurren los presupuestos (materiales) exigidos al respecto (SSTC 10/1987, 26/1988, 214/1988, 63/1992 y 161/1992).</w:t>
      </w:r>
    </w:p>
    <w:p w:rsidRPr="00C21FFE" w:rsidR="00AD51A7" w:rsidRDefault="008777C4">
      <w:pPr>
        <w:rPr/>
      </w:pPr>
      <w:r w:rsidRPr="&lt;w:rPr xmlns:w=&quot;http://schemas.openxmlformats.org/wordprocessingml/2006/main&quot;&gt;&lt;w:lang w:val=&quot;es-ES_tradnl&quot; /&gt;&lt;/w:rPr&gt;">
        <w:rPr/>
        <w:t xml:space="preserve">En el caso que ahora nos ocupa hubo un Auto y, por tanto, respuesta judicial adecuada dentro del marco así diseñado, donde se perfila esta faceta de la tutela jurisdiccional, que razona sucinta pero nítidamente, en el primer párrafo de su fundamentación jurídica, la innecesariedad la audiencia previa para la causa de inadmisibilidad consistente en carecer manifiestamente la pretensión de fundamento. Los dos pronunciamientos, en sus dos aspectos, extrínseco e intrínseco, son competencia exclusiva y excluyente de la Sala, comprendiendo por una parte seleccionar los factores que componen el objeto del proceso en su doble dimensión, tanto lo que se pide como la razón de pedirlo, causa petendi, para, una vez hecho, comprobar su viabilidad mediante un enjuiciamiento prima facie apriorístico y rápido, pero no apresurado y nunca superficial, a la luz de las normas y de la doctrina legal del propio Tribunal Supremo. Existiendo, pues, la causa de inadmisibilidad, introducida en 1992 con efecto inmediato, la conclusión a la cual llega el Tribunal Supremo es razonable y además aparece razonada suficientemente, cumpliendo así con la exigencia constitucional de que las Sentencias sean siempre motivadas (art. 120.3 C.E.), extensible a los Autos pero no a las providencias por la Ley Orgánica del Poder Judicial, cuya incorporación como un elemento de la tutela judicial efectiva se produce sin violencia conceptual alguna. Nada obsta, pues, a la causa de inadmisibilidad vista desde tal perspectiva.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cuestiones en litigio tiene una dimensión formal que afecta a un requisito extrínseco de la admisibilidad y no a ésta en su sustancia. Sin embargo, la incógnita en que consiste ha de reconducirse al mismo terreno de la anterior y recibir idéntica respuesta por conllevar también los ingredientes de la función de juzgar tal y como la hemos perfilado tantas voces en numerosas Sentencias, muchas de las cuales se invocan más arriba en el resumen de nuestra doctrina al respecto. El Auto impugnado aplica la regla 3.ª, apartado 10 del art. 1.710 de la Ley de Enjuiciamiento Civil, cuya interpretación se mueve entre dos polos de atracción. Uno, la secuencia sintáctica del final primer párrafo y el principio del siguiente, ambos en singular, significarían que la audiencia de la parte sólo es preceptiva si se da el segundo motivo de inadmisión, «cuando se hubieren desestimado en el fondo otros recursos sustancialmente iguales» y, así, la expresión, en este caso, llevaría implícita e intercalada, pero elidida, la palabra «último». Es la solución que preconiza implícitamente el Tribunal Supremo a través del hecho concluyente de la omisión deliberada de aquel trámite. Otra lectura se inclina en favor de que la audiencia antedicha sea necesaria en cualquiera de las dos hipotéticas causas de inadmisibilidad, tesis ratificada a su vez por nuestra STC 212/1994 (Sala Primera) donde se contempla un supuesto idéntico, sin un solo rasgo diferencial del presente.  «En este caso», pues, englobaría «ambos». La regulación no ofrece un perfil nítido, las dos versiones son plausibles y precisamente esa condición impide aquí y ahora terciar en la cuestión en tanto ambas respeten las garantías constitucionales. Si el planteamiento quedara así diseñado la controversia se reduciría a la determinación del sentido y alcance de una norma jurídica, en el plano de la legalidad.</w:t>
      </w:r>
    </w:p>
    <w:p w:rsidRPr="00C21FFE" w:rsidR="00AD51A7" w:rsidRDefault="008777C4">
      <w:pPr>
        <w:rPr/>
      </w:pPr>
      <w:r w:rsidRPr="&lt;w:rPr xmlns:w=&quot;http://schemas.openxmlformats.org/wordprocessingml/2006/main&quot;&gt;&lt;w:lang w:val=&quot;es-ES_tradnl&quot; /&gt;&lt;/w:rPr&gt;">
        <w:rPr/>
        <w:t xml:space="preserve">La omisión del trámite de audiencia fue deliberada en este caso, como refleja el Auto en el párrafo inicial de su razonamiento jurídico y, por otra parte, responde a un criterio invariable reflejado en la práctica diana, conformando un usus fori con valor de precedente, puesto de relieve precisamente en otros casos idénticos anteriores. La omisión tácita hecho consumado y concluyente, se produjo en una providencia fechada el 21 de febrero de 1994, donde se pasaron las actuaciones al Ponente para instrucción a los efectos de proponer la resolución procedente, que sería luego el Auto de 21 de julio de 1994, objeto de este proceso. Tal tipo de resoluciones interlocutorias no necesitan motivación alguna -como ya se anticipó-, aun cuando puedan llevarla sucintamente en algún caso y con carácter potestativo, estando excluidas de tal exigencia general por imperio de la Ley Orgánica del Poder Judicial (arts.  288 y 289 L.O.P.J.). Además, son revisables por el Juez o el Ponente de oficio o a instancia de parte. Que no las impugnara quien hoy se duele de la omisión del trámite, debilita la consistencia de su queja, poniéndola en la vía de la inadmisibilidad por no haber agotado los recursos pertinentes procesalmente [art. 44.1 a) LOTC]. No obstante y sin necesidad en este momento de cortar aquí el debate por razones formales, es claro que la presencia de dos razonamientos que conducen a soluciones dispares nos fuerza a comprobar nada más, pero nada menos, si ha sido desconocido o menoscabado, el derecho fundamental a la tutela judicial efectiva, cuya cara negativa es la indefensión por vaciarla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para ello conviene empezar por el principio y este no es otro sino el acceso a la justicia como elemento esencial del contenido de la tutela judicial, consistente en provocar la actividad jurisdiccional que desemboque en la decisión de un Juez (STC 19/1981). En este acceso, o entrada, funciona con toda su intensidad el principio pro accione que, sin embargo, ha de ser matizado cuando se trata de los siguientes grados procesales que, eventualmente puedan configurarse.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refiere a las leyes. Son, por tanto, cualitativa y cuantitativamente distintos.</w:t>
      </w:r>
    </w:p>
    <w:p w:rsidRPr="00C21FFE" w:rsidR="00AD51A7" w:rsidRDefault="008777C4">
      <w:pPr>
        <w:rPr/>
      </w:pPr>
      <w:r w:rsidRPr="&lt;w:rPr xmlns:w=&quot;http://schemas.openxmlformats.org/wordprocessingml/2006/main&quot;&gt;&lt;w:lang w:val=&quot;es-ES_tradnl&quot; /&gt;&lt;/w:rPr&gt;">
        <w:rPr/>
        <w:t xml:space="preserve">El sistema de recursos se incorpora a la tutela judicial en la configuración que le dé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106/1988).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metería, pertenece al ámbito de libertad del legislador (STC 3/1983). Pues bien, en el diseño del sistema de recursos se utilizan variadas modalidades y diversos tipos, cuya consideración desde la perspectiva constitucional no puede ser la misma. Por una parte están los ordinarios, como la apelación, y por la otra, aparece en el siglo pasado la casación civil y penal, cuya sede se situó en el Tribunal Supremo, generalizándose para los demás órdenes jurisdiccionales una vez promulgada la Constitución, con la función de preservar la pureza de la ley para conseguir la igualdad y la seguridad jurídica en su aplicación, donde tiene su origen la doctrina legal con valor complementario del ordenamiento jurídico (art. 1.6 C.C.). Este recurso con fundamento en motivos tasados, numerus clausus, que sólo permite revisar la interpretación del Derecho, dejando intocados los hechos que dieron por ciertos los Jueces de la instancia, está clasificado entre los extraordinarios y, en consecuencia, su admisibilidad queda sometida no solo a los requisitos meramente extrínsecos tiempo y forma -y a los presupuestos comunes exigibles para el ordinario de apelación, sino a otros intrínsecos, sustantivos, relacionados con el contenido y viabilidad de la pretensión, cuyo régimen es más severo por su propia naturaleza. Como consecuencia de ello, el principio hermenéutico pro actione no opera con igual intensidad en la fase inicial del proceso, para acceder al sistema judicial, que en las sucesivas, conseguida que fue una primera respuesta judicial a la pretensión cuya es la sustancia medular, de la tutela y su contenido esencial, sin importar que sea única o múltiple, según regulen las normas procesales el sistema de recursos.</w:t>
      </w:r>
    </w:p>
    <w:p w:rsidRPr="00C21FFE" w:rsidR="00AD51A7" w:rsidRDefault="008777C4">
      <w:pPr>
        <w:rPr/>
      </w:pPr>
      <w:r w:rsidRPr="&lt;w:rPr xmlns:w=&quot;http://schemas.openxmlformats.org/wordprocessingml/2006/main&quot;&gt;&lt;w:lang w:val=&quot;es-ES_tradnl&quot; /&gt;&lt;/w:rPr&gt;">
        <w:rPr/>
        <w:t xml:space="preserve">Lo dicho nos pone en suerte el único problema con trascendencia constitucional, apuntado más arriba, consistente en averiguar si ha menoscabado la efectividad de la tutela judicial el que no se oyera específicamente al recurrente sobre la eventual causa de inadmisibilidad con posterioridad a la formulación del recurso de casación, porque a juicio del Tribunal Supremo el art. 1.710.1.3 L.E.C. no le imponía tal trámite. La conclusión a la cual llegó su Sala Primera puede inducirse razonablemente del precepto, aunque la ambigüedad del mismo hubiera permitido también la solución contraria. Si se analizan las dos causas de inadmisibilidad, concatenadas por la conjunción copulativa, se observa fácilmente que tienen características muy diferentes. La primera, «carencia manifiesta de fundamento» puede apreciarse directamente y sin más por el contenido del escrito de interposición donde han de constar los motivos y su soporte argumental. En cambio, la otra, que incorpora el principio de unidad jurisprudencial, estriba en que el caso planteado haya sido resuelto negativamente por razones de fondo, en el lenguaje forense, no meramente procesales, merece ser puesta de manifiesto el recurrente, que puede no conocer la jurisprudencia sobre la cuestión, en especial si fuere relativamente reciente o no hubiere obtenido la difusión adecuada. Queda claro pues, a nuestro parecer, que el hoy demandante tuvo ocasión de exponer los fundamentos del recurso de casación intentado en el momento de interponerlo y que el Auto donde se rechazó la admisión no fue dictado sin oírle, inaudita parte. Por lo tanto, no hubo la indefensión «material» como algo real, efectivo y actual, nunca potencial o abstracto, que de darse hubiera dejado sin contenido la tutela judicial, vulnerando así tal derecho fundamental.</w:t>
      </w:r>
    </w:p>
    <w:p w:rsidRPr="00C21FFE" w:rsidR="00AD51A7" w:rsidRDefault="008777C4">
      <w:pPr>
        <w:rPr/>
      </w:pPr>
      <w:r w:rsidRPr="&lt;w:rPr xmlns:w=&quot;http://schemas.openxmlformats.org/wordprocessingml/2006/main&quot;&gt;&lt;w:lang w:val=&quot;es-ES_tradnl&quot; /&gt;&lt;/w:rPr&gt;">
        <w:rPr/>
        <w:t xml:space="preserve">5. Una vez comprobado que el Auto del Tribunal Supremo en tela de juicio no ha causado indefensión y en consecuencia no ha menoscabado el derecho a la efectividad de la tutela judicial que a todos ampara, por haber negado el acceso a la casación de un cierto asunto en virtud de una causa de inadmisibilidad prevista en la Ley de Enjuiciamiento Civil para cuya decisión, como en otros casos semejantes, no consideró preceptiva la audiencia del interesado, la cuestión planteada carece de la menor connotación constitucional. Desde esta perspectiva, que es la nuestra, las dos soluciones propugnadas son admisibles, cualquiera que fuere su grado de exactitud relativa respecto de la voluntad objetivada de la Ley o la subjetiva del legislador. No habiéndose cerrado la vía del recurso arbitrariamente o intuitu personae, queda en pie nuestra doctrina al respecto, en cuya virtud corresponde al Tribunal Supremo la última palabra sobre la admisibilidad de los recursos de casación ante él interpuestos, a salvo lo dispuesto en materia de garantías constitucionales (art. 123 C.E.).  En definitiva, la balanza constitucional no puede inclinarse en ningún sentido para optar entre dos soluciones igualmente razonables, sin interferir en el núcleo de la potestad de juzgar cuya independencia de criterio predica la Constitución, ya que el amparo no está configurado como una última instancia ni tiene una función casacional, operantes una y otra en el ámbito de la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