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noviembre de 1995, tuvo entrada en el Registro General de este Tribunal escrito de la representación procesal de don Isacio del Río Carpio y doña María del Carmen García Rodríguez, por medio del cual promueven recurso de amparo frente a la Sentencia de 13 de octubre de 1995 de la Audiencia Provincial de Valladolid, recaída en recurso de apelación 395/95 seguido frente a la de 30 de mayo de 1995, del Juzgado de Primera Instancia núm. 5 de esa capital, que revocó parcialmente, al estimar en parte la demanda, privando a don (sacio del Río Carpio del uso de vivienda de la que es cotitular, sita en calle Navarra núm. 4, tercero A, de Valladolid y absolviendo a doña María del Carmen García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La Comunidad de Propietarios de la casa núm. 4 de la calle Navarra, de Valladolid, debido a la conducta perturbadora de la paz y convivencia comunitaria que venía desarrollando el Sr. del Río Carpio, tras los correspondientes requerimientos, presentó demanda contra él y su esposa, al amparo de los arts. 19, párrafos 1. , 3. , y 7, párrafo 3. de la Ley de Propiedad Horizontal, para la privación temporal del uso del piso que venían ocupando, del que eran cotitulares. b) El Juzgado de Primera Instancia de Valladolid, por Sentencia de 30 de mayo de 1995, desestimó la demanda. Interpuesto recurso de apelación por la Comunidad demandante, la Audiencia Provincial lo estimó parcialmente, dictando la Sentencia que ha dado lugar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fundamental a la libertad de residencia, al haber sido privado del uso de una vivienda de su propiedad, lo que incide de modo directo sobre el condenado e, indirectamente, en su cónyuge, dado el deber de convivencia que por razón del matrimonio sobre ellos pesa, lo que configura, a su entender, un supuesto de vulneración del art. 19 C.E. Igualmente, se considera vulnerado el derecho a la tutela judicial efectiva, reconocido en el art. 24 C.E., al imponérsele una sanción civil sin mediar un proceso con todas las garantías, lo que conecta con la alegación, que en su día formuló, acerca de la existencia de una prejudicialidad penal, al seguirse dos causas penales contra el primero de los demandantes de amparo, relacionadas con las alteraciones de la convivencia en el seno de la comunidad de vecinos. Se han dado así por probados hechos que se hallan sub iudice en la jurisdicción penal y vulnerado la presunción de inocencia, al no existir prueba alguna de los hechos imputados.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que hada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junio de 1996,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21 de junio de 1996, los demandantes de amparo formularon sus alegaciones, justificando la procedencia de la suspensión en el perjuicio derivado de la privación de la vivienda, que viene sufriendo el señor del Río Carpio, toda vez que, desde el 15 de enero pasado, ha debido abandonar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27 de junio de 1996, el Fiscal interesó que, de acuerdo con el art. 56 LOTC, se suspendiese la Sentencia recurrida, pues, de cumplirse la sanción de privación de la vivienda por un año, no habría manera de restituir el daño causado, si en su día se otorgara el amparo. Considera que se trata de un perjuicio similar, a estos efectos, al de las condenas penales privativas de libertad o de derechos de imposible reparación. Frente a ello, los vecinos no ven afectado ningún derecho fundamental o libertad pública, pues la presencia del demandante sólo puede ocasionarles simples molestias.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el Tribunal el 13 de julio actual, don Luciano Rosch Nadal, Procurador de los Tribunales, se personó en el presente recurso de amparo en nombre y representación de la Comunidad de Propietarios de la casa núm. 4 de la calle Navarra, de Valladolid. </w:t>
      </w:r>
    </w:p>
    <w:p w:rsidRPr="00C21FFE" w:rsidR="00AD51A7" w:rsidRDefault="008777C4">
      <w:pPr>
        <w:rPr/>
      </w:pPr>
      <w:r w:rsidRPr="&lt;w:rPr xmlns:w=&quot;http://schemas.openxmlformats.org/wordprocessingml/2006/main&quot;&gt;&lt;w:lang w:val=&quot;es-ES_tradnl&quot; /&gt;&lt;/w:rPr&gt;">
        <w:rPr/>
        <w:t xml:space="preserve">La Sección por providencia de 15 de julio acordó tener por personado y parte al Sr. Rosch Nadal en la representación antes indicada. Y, por otra providencia de la misma fecha, dictada en la pieza, otorgó un plazo de tres días al citado Procurador, para alegar lo que estimase pertinente en relación con la petición de suspensión interesada por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Procurador Sr. Rosch Nadal presentó las alegaciones al respecto. oponiéndose a la petición de suspensión formulada de contrario, ya que se ha alegado un supuesto perjuicio irreparable que no se explica ni acredita, no ofreciendo tampoco los demandantes de amparo canción alguna para garantizar los posibles perjuicios derivados de la suspensión. </w:t>
      </w:r>
    </w:p>
    <w:p w:rsidRPr="00C21FFE" w:rsidR="00AD51A7" w:rsidRDefault="008777C4">
      <w:pPr>
        <w:rPr/>
      </w:pPr>
      <w:r w:rsidRPr="&lt;w:rPr xmlns:w=&quot;http://schemas.openxmlformats.org/wordprocessingml/2006/main&quot;&gt;&lt;w:lang w:val=&quot;es-ES_tradnl&quot; /&gt;&lt;/w:rPr&gt;">
        <w:rPr/>
        <w:t xml:space="preserve">La petición que se formula no sólo no está debidamente articulada desde un punto de vista formal, sino que tampoco resulta justificada por razones de fondo, faltando el «fundamento de la acción, con trascendencia en la decisión cautelar» (ATC 3/1981).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los demandantes de amparo la suspensión de una resolución judicial que priva a uno de ellos del uso de una vivienda de su titularidad, considerándose la otra afectada en razón del vinculo conyugal que los une, del que se deriva el deber de convivencia. Entienden que, de no acordarse la suspensión el perjuicio seda irreparable y manifiestan que, desde el 15 de enero de 1996 se está ejecutando la Sentencia recurrida.</w:t>
      </w:r>
    </w:p>
    <w:p w:rsidRPr="00C21FFE" w:rsidR="00AD51A7" w:rsidRDefault="008777C4">
      <w:pPr>
        <w:rPr/>
      </w:pPr>
      <w:r w:rsidRPr="&lt;w:rPr xmlns:w=&quot;http://schemas.openxmlformats.org/wordprocessingml/2006/main&quot;&gt;&lt;w:lang w:val=&quot;es-ES_tradnl&quot; /&gt;&lt;/w:rPr&gt;">
        <w:rPr/>
        <w:t xml:space="preserve">El Ministerio Fiscal interesa la suspensión, al considerar que, ulteriormente, no sería posible restituir el daño causado, en el supuesto de que se otorgase el amparo, frente a lo que el interés de los restantes vecinos no supone que se vea implicado ningún derecho fundamental o libertad pública de los que sean titulares.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ano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en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4. En general, se ha entendido que las resoluciones judiciales con efectos meramente económicos, en principio, no causan perjuicios irreparables, por lo que no procede su suspensión (ATC 275/1990). Contrariamente, en aquellos casos en los que está en juego la libertad, la regla general es la suspensión, lo que se ha afirmado reiteradamente, como recuerda el Ministerio Fiscal, respecto de las penas privativas de libertad (AATC 98/1983, 179/1984, 574/1985, 116/1990 o 120/1993). Pero, aun en estos casos, también se ha declarado que «ello no es necesariamente así en todos los supuestos porque ambos valores -ejecutoriedad de las Sentencias y libertad personal- pueden ver incrementado o disminuido su peso por la concurrencia de circunstancias específicas que hagan derrotar el fiel de la balanza hacia el lado donde se sitúa el respectivo interés general el primero y particular el otro» (ATC 197/1995)</w:t>
      </w:r>
    </w:p>
    <w:p w:rsidRPr="00C21FFE" w:rsidR="00AD51A7" w:rsidRDefault="008777C4">
      <w:pPr>
        <w:rPr/>
      </w:pPr>
      <w:r w:rsidRPr="&lt;w:rPr xmlns:w=&quot;http://schemas.openxmlformats.org/wordprocessingml/2006/main&quot;&gt;&lt;w:lang w:val=&quot;es-ES_tradnl&quot; /&gt;&lt;/w:rPr&gt;">
        <w:rPr/>
        <w:t xml:space="preserve">5. En este caso, resulta procedente acceder a la suspensión solicitada. En efecto, nos encontramos con que la medida restrictiva de la libertad del demandante está ya siendo ejecutada, con lo que resulta que, atendida su duración temporal, de no accederse a la suspensión, se habría, previsiblemente, ejecutado en su totalidad al tiempo de dictarse Sentencia. Un fallo estimatorio no podría otorgar, pues, una restitutio in integrum del derecho fundamental que se pudiese entender vulnerado, lo que compromete la eficaz consecución de la finalidad del amparo, que el art. 56 LOTC erige en criterio determinante del otorgamiento de la suspensión. Frente a ello, como bien señala el Ministerio Fiscal, no está empeñado ningún derecho fundamental o libertad pública del resto de los vecinos, a lo que debe añadirse que el cumplimiento de lo que reste de la sanción siempre sería posible tras una Sentencia desestimatoria.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estimar la petición de suspensión, ordenando la suspensión de la ejecución de la Sentencia de la Audiencia de Valladolid de 13 de octubre de 1995, recaída en recurso de apelación 395/95, sobre privación de uso de</w:t>
      </w:r>
    </w:p>
    <w:p w:rsidRPr="" w:rsidR="00AD51A7" w:rsidRDefault="008777C4">
      <w:pPr>
        <w:rPr/>
      </w:pPr>
      <w:r w:rsidRPr="&lt;w:rPr xmlns:w=&quot;http://schemas.openxmlformats.org/wordprocessingml/2006/main&quot;&gt;&lt;w:szCs w:val=&quot;24&quot; /&gt;&lt;/w:rPr&gt;">
        <w:rPr/>
        <w:t xml:space="preserve">vivienda.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