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30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23 de julio de 1996 la representación procesal de la demandante ha interpuesto recurso de amparo contra el Auto de la Sección Segunda de la Audiencia Provincial de Oviedo de 21 de junio de 1996, que confirma en apelación el dictado por el Juzgado de Instrucción núm. 2 de Gijón, de 11 de enero de 1996, por el que se mantiene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el Juzgado de Instrucción núm. 2 de Gijón decretó la prisión provisional de la recurrente por Auto de 9 de noviembre de 1995. Fue procesada el 11 de enero de 1996 como presunta autora de un delito contra la salud pública. Recurrido en reforma y apelación el auto de procesamiento, el mismo fue confirmado en todos sus extremos, incluido el referente a su situación personal que se mantuvo basta el pasado 16 de diciembre en que la Sección Segunda de la Audiencia Provincial decretó la libertad provisional sin fianza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17 C.E., al entender que las resoluciones judiciales que decretaron su privación cautelar de libertad no estaban suficientemente motivadas.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mediante providencia de fecha 29 de abril de 1997,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fecha 13 de mayo de 1997, el Ministerio Fiscal ha presentado sus alegaciones en el incidente de suspensión, manifestando su oposición al otorgamiento de la suspensión instada de la resolución impugnada en esta sede al resultar fundada la decisión de privación de libertad acordada. Por otrosí, el Ministerio Fiscal planteó la posibilidad de que el amparo hubiera perdido su objeto como consecuencia de la puesta en libertad de la recurrente con posterioridad a la interposición del amparo y previamente a su admisión a trámite. La recurrente no ha formulado alegación alguna en el incidente de suspensión, ni ha solicitado el desistimiento del recurso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consta en las actuaciones que por Auto de 16 de diciembre de 1996 la Audiencia Provincial de Oviedo ha decretado la libertad provisional de la recurrente, por lo que carece de objeto acordar la suspensión de la ejecución de una resolución judicial cuyo contenido ha sido ya dejado sin efecto por el propio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