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fecha 7 de abril de 1997, esta Sala acordó la suspensión de la resolución impugnada en el presente recurso de amparo en lo concerniente, exclusivamente, al bien inmueble adjudicado.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formulado al evacuar el trámite de alegaciones previsto en el art. 52 LOTC don Antonio Cenea Bemedo y «Sogacal, S.G.R.», que son parte en el proceso de amparo, solicitan la revocación del Auto que acuerda la suspensión de la resolución impugnada, o que, subsidiariamente, se condicione la misma a la constitución de fianza suficiente. Tal petición se fundamenta en que la resolución fue dictada antes de constituirse en parte en el proceso y a la vista de los perjuicios irreparables que les causa tal resolución. Se fundamenta también la petición en que paralelamente a la presentación de la demanda de amparo los recurrentes solicitaron ante el Juzgado la nulidad de actuaciones, hecho éste que ocultaron en su demanda, la cual ha sido desestimada por Auto de 14 de octubre de 1996 y ratificada en apelación por Auto de 19 de febrero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(Sala Segunda), mediante providencia de fecha 23 de junio de 1997, acordó conceder un plazo de tres días al resto de las partes personadas y al Ministerio Fiscal para que alegaran lo que estimasen oportuno sobre lo interesado por otrosí por las partes reseñadas.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sendos escritos de fecha 27 y 30 de junio y 4 de julio de 1997, los recurrentes en amparo, «Sogacal, S.G.R.», y el Ministerio Fiscal han presentado sus alegaciones en este incidente de modificación de la suspensión acordada, reiterando aquéllos que no se aportan razones justificativas para dejar sin efecto la suspensión acordada, ya que las razones aducidas tienen que ver con la pretensión de amparo y su admisibilidad y no con la suspensión acordada. «Sogacal, S.G.R.», manifiesta su conformidad con la revocación del Auto de suspensión. El Ministerio Fiscal señala que no es motivo de revocación el hecho de no haber sido oídas en su momento las partes que hoy solicitan la modificación de la suspensión, ya que la suspensión se acordó con anterioridad a su personación en este proceso de amparo. Y en cuanto a las razones justificativas relativas a la existencia de un proceso paralelo en vía judicial en el que se solicitó la nulidad de las actuaciones, alegando indefensión, señala que son argumentos que tienen que ver con la resolución de la pretensión de amparo, y, eventualmente, con la existencia de una causa de inadmisibilidad, pero no con las previsiones del art. 57 de la, LOTC, por lo que se opone a la petición de revocación o modificación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otra parte, el art. 57 de la LOTC permite modificar durante el curso del juicio de amparo constitucional, de oficio o a instancia de parte, la suspensión acordada o su denegación, si se acreditan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La cuestión a resolver en este incidente, tal y como ha sido planteada por quienes se han personado en este proceso de amparo una vez admitida a trámite la demanda, se contrae a determinar si las circunstancias por ellos puestas de manifiesto en los escritos reseñados en los antecedentes de esta resolución justifican o no la modificación de la suspensión de la resolución impugnada en amparo que decretamos por Auto de 4 de abril de 1997. Pues bien, las circunstancias sobrevenidas o desconocidas al tiempo de pronunciarse sobre la petición de suspensión que fundamentan la petición de los solicitantes no afectan por sí mismas a la decisión de suspensión, sino a la viabilidad de la propia pretensión de amparo fundada en no haber sido oído el demandante en el proceso ejecutivo anterior. Las razones ahora aducidas no aportan dato alguno sobre la valoración de los intereses en conflicto analizados cuando nos pronunciamos sobre la suspensión o su denegación, por lo que no pueden ser tenidas en cuenta para modificar la resolución en su día dictada.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petición de modificación de la suspensión acordada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