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10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29 de noviembre de 1995 la representación procesal del demandante ha interpuesto recurso de amparo contra la Sentencia de 3 de noviembre de 1995, dictada por la Audiencia Provincial de Sevilla, en el rollo de apelación 1.49/195, que condena a los recurrentes como autores de un delito contra la libertad y seguridad en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Tras haber sido absueltos por el Juzgado de lo Penal, la Audiencia Provincial de Sevilla estimó parcialmente el recurso de apelación interpuesto por la acusación particular, y condenó a los recurrentes a las penas de seis meses y un día de prisión menor, y un mes y un día de prisión menor, respectivamente, con la accesoria de suspensión de todo cargo público y derecho de sufragio como responsables de un delito contra la libertad y seguridad en el trabajo. </w:t>
      </w:r>
    </w:p>
    <w:p w:rsidRPr="00C21FFE" w:rsidR="00AD51A7" w:rsidRDefault="008777C4">
      <w:pPr>
        <w:rPr/>
      </w:pPr>
      <w:r w:rsidRPr="&lt;w:rPr xmlns:w=&quot;http://schemas.openxmlformats.org/wordprocessingml/2006/main&quot;&gt;&lt;w:lang w:val=&quot;es-ES_tradnl&quot; /&gt;&lt;/w:rPr&gt;">
        <w:rPr/>
        <w:t xml:space="preserve">b) En la misma Sentencia se declaró la nulidad de dos compraventas realizadas por los recurrentes entre sí, al entender que habían sido otorgadas en fraude de los derechos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 C.E., en su vertiente de derecho a obtener una resolución fundada y del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Asimismo, y por escrito de 2 de julio de 1997 solicita, la suspensión de la ejecución de la resolución recurrida, alegando perjuicios irreparables derivados de la ejecución, por parte de un Juzgado de lo Social, de deudas de los recurrentes sobre el patrimonio de éstos, al que se reintegraron, en virtud de la declarada nulidad de las compraventas, los inmuebles que por ellas se transmitieron.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fecha 10 de julio de 1997, la Sección Cuarta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sendos escritos de fecha 17, 23 y 15 de julio de 1997, los recurrentes en amparo, la acusación particular y el Ministerio Fiscal han presentado sus alegaciones en el incidente de suspensión, reiterando aquéllos lo expuesto en su escrito de demanda, petición a la que se ha opuesto quien ejerció la acusación particular al entender que la subasta que se expresa como justificación del perjuicio que se trata de conjurar por la suspensión, ha sido acordada por el Juzgado de lo Social y no por el Tribunal sentenciador, el Ministerio Fiscal muestra su oposición al otorgamiento de la suspensión instada en relación con las responsabilidades civiles declaradas, mostrándose favorable a la de las penas privativas de libertad impuestas.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ó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que la interposición del recurso de amparo, como regla general, no suspende la ejecución de los actos recurridos, salvo en el supuesto expresamente previsto en la LOTC -pérdida de la finalidad del amparo- y aún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fuera otorgado, sea tardío e impida definitivamente que tal restauración sea efectiva. En general se ha entendido que las resoluciones judiciales con efectos meramente patrimoniales o económicos, en principio no causan perjuicios irreparables, por lo que no procede su suspensión (AATC 573/1985, 574/1985 ó 275/1990). Conclusión que se extiende a las costas procesales,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en la parte solicitada por los recurrentes, pues la ejecución de la sentencia condenatoria impugnada, en lo que se refiere a la reparación de las consecuencias civiles del delito, no puede entrañar un perjuicio irreparable para sus intereses dada su naturaleza puramente patrimonial o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contra, en relación con la petición de suspensión formulada por el Ministerio Fiscal, debe señalarse que cuando, como en este caso, se impugnan resoluciones limitativas o privativas de libertad (sea con alegación del derecho a la libertad personal o de otros derechos fundamentales) la no suspensión de la resolución impugnada, y por tanto el mantenimiento o la ejecución de la privación de libertad acordada, ocasiona perjuicios que pueden hacer perder su finalidad al amparo, aunque éste fuera finalmente otorgado, ya que la situación de limitación o privación de libertad se consolida hasta tal momento, con lo que, si la pena es breve, puede hallarse prácticamente cumplida al tiempo de la decisión de fondo. En este caso la resolución impugnada contiene una condena a pena corta privativa de libertad, por lo que de conformidad con lo interesado, procede acordar la suspensión parcial de la misma en lo que se refiere a la privación de libertad acordada y sus accesorias, pues no se aprecia ninguna circunstancia que pueda justificar un sacrificio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parcialmente a la solicitud de suspensión de la ejecución de la Sentencia dictada por la Audiencia Provincial de Sevilla, en el rollo de apelación 1.495/95, que condena a los recurrentes como autores de un delito</w:t>
      </w:r>
    </w:p>
    <w:p w:rsidRPr="" w:rsidR="00AD51A7" w:rsidRDefault="008777C4">
      <w:pPr>
        <w:rPr/>
      </w:pPr>
      <w:r w:rsidRPr="&lt;w:rPr xmlns:w=&quot;http://schemas.openxmlformats.org/wordprocessingml/2006/main&quot;&gt;&lt;w:szCs w:val=&quot;24&quot; /&gt;&lt;/w:rPr&gt;">
        <w:rPr/>
        <w:t xml:space="preserve">contra la libertad y seguridad en el trabajo, en lo que se refiere a las penas privativas de libertad impuestas y sus accesorias, no suspendiéndose el resto de pronunciamiento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