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junio de 1996, tuvo entrada en el Registro General de este Tribunal escrito de la representación procesal de doña Luisa Adán Barroso y doña Zoila Dolores Clemares López por medio del cual interponen recurso de amparo frente a la Sentencia de 22 de mayo de 1996 de la Audiencia Provincial de Cuenca, dictada en rollo de apelación 66/96, dimanante de los autos de juicio verbal 18/193 del Juzgado de Primera Instancia núm. 1 de Motilla del Palancar.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se refieren a la existencia de diversos litigios, entre los afectados en un accidente de circulación y sus causahabientes, en reclamación de indemnizaciones por los daños sufridos, siendo lo relevante, a los efectos del amparo, que la Sentencia recurrida no estima una concurrencia de culpas que, al parecer, sirvió de fundamento a otras de las resoluciones judiciales habidas.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art. 24.1 de la Constitución, por no haberse respetado el derecho de inmodificabilidad de las resoluciones judiciales firmes, ya que, según se alega, la Sentencia impugnada ha dejado sin efectos otra Sentencia firme anterior.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como consecuencia de la posibilidad de ejecución de las costas, habida cuenta de su situación de desamparo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octubre de 1997, la Sección Segunda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5 de noviembre de 1997, las demandantes de amparo formularon alegaciones en las que ponían de manifiesto los graves daños que se derivarían de la no suspensión de la Sentencia impugnada, ya que, al desestimar su reclamación indemnizatoria, les condenó al pago de unas costas que, afirman, ascienden a 8.300.000 ptas., siendo así que carecen de bienes para responder de las mismas, con la salvedad de su vivienda, que habría de ser ejecutada para satisfacer la deuda, siendo así que la avanzada edad y estado de salud de las demandantes les haría imposible soportar semejante trastorno. En apoyo de su pretensión citan el ATC 393/1995 y concluyen solicitando a este Tribunal que valore las especiales circunstancias e intereses en presencia y acuerde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5 de noviembre de 1997, el Fiscal interesó la no suspensión de la resolución impugnada, por referirse únicamente al pago de una cantidad dineraria, siendo reiterada la jurisprudencia que considera reparables las ejecuciones que suponen desembolsos de sumas al tener efectos meramente económicos (AATC 35/1996, 245/1996, 109/1997 y 143/1994, entre otros).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 Así pues, para justificar la suspensión no es suficiente cualquier tipo de perjuicio, molestia o dificultad, por lo que se ha estimado que, como las resoluciones judiciales con efectos meramente económicos, en principio, no causan ningún perjuicio irreparable, no procede su suspensión (ATC 275/1990).</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presente caso de la doctrina expuesta debe conducir a la desestimación de la solicitud de suspensión, como interesa el Fiscal, ya que la resolución impugnada se refiere al pago de una cantidad dineraria, y sin que, por otra parte, se pueda acoger la invocación del ATC 393/1985, toda vez que la pérdida de la vivienda en que se fundamentaría la aplicación de tal doctrina, no es sino un hecho meramente hipotético, cuya inevitabilidad en modo alguno se ha acreditado, y que contrasta con el dato mismo de que la Sentencia recurrida concede a los demandantes determinadas indemnizaciones cuyo montante no consta.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