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Ferrer Recuero, en nombre y representación de doña Francesca Pérez Sánchez, por escrito presentado el 4 de junio de 1998, interpone recurso de amparo contra la Sentencia de la Sección Décima de la Audiencia Provincial de Barcelona, de 27 de abril de 1998, dictada en el recurso de apelación núm. 121198.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auto de fecha 24 de junio de 1999, acordó la inadmisión del presente recurso de amparo y el archivo de las actuaciones, produciéndose un error material en su parte dispositiva, al reseñar como demandante de amparo a doña María Blanca Blanquer Prats en lugar de a doña Francesca Pérez Sánchez.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art. 267.2 de la Ley Orgánica del Poder Judicial, aplicable en el ámbito constitucional por disposición del art. 80 de la Ley Orgánica del Tribunal Constitucional, establece que los errores materiales y los aritméticos podrán ser rectificados en cualquier momento, por lo que, padecido error material en la parte dispositiva del Auto de 24 de junio de 1999, procede subsanar dicho error, sustituyendo el nombre de doña María Blanca Blanquer Prats por el de doña Francesca Pérez Sánchez, recurrente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rectificar el Auto de 24 de junio de 1999, en su parte dispositiva respecto del nombre de la recurrente y su sustitución por el de doña Francesca Pérez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