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Mercedes Marín Iribarren presentó, en nombre y representación de don Antonio Rubio Clares, el 11 de noviembre de 1998, escrito de interposición de recurso de amparo contra la Sentencia de la Audiencia Provincial de Madrid, de 30 de octubre de 1998, dictada al resolver el recurso de apelación contra otra anterior del Juzgado de lo Penal núm. 23, y en la demanda se nos cuenta que el actor fue condenado por el Juzgado de lo Penal núm. 23 de Madrid a la pena de dieciocho meses de prisión y multa de dieciocho meses con una cuota diaria de quinientas pesetas y diez días de responsabilidad personal subsidiaria en caso de impago, como autor responsable de un delito de receptación con la concurrencia de la circunstancia agravante de reincidencia. Interpuesto recurso de apelación, la Sección Vigesimotercera de la Audiencia Provincial de Madrid lo desestimó. En el suplico solicita la concesión del amparo y la anulación de las resoluciones judiciales impugnadas, por haberse vulnerado el derecho a la presunción de inocencia. Subsidiariamente, para el caso de desestimarse esa petición, que se conceda el amparo por la vulneración del derecho a la tutela, al no haberse pronunciado la Audiencia Provincial sobre los dos motivos reseñados. Por otrosí se interesa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Sala Segunda de 21 de septiembre de 1999, se acordó admitir a trámite la demanda y, en aplicación de lo dispuesto en el art. 51 LOTC, dirigir atenta comunicación a la Sección Vigesimotercera de la Audiencia Provincial de Madrid a fin de que, en el plazo que no excediera de diez días, emplazase a quienes hubieran sido parte en el procedimiento, para comparecer en este recurso de amparo. Por providencia de la misma fecha se decidió, asimismo, formar la oportuna pieza para la tramitación del incidente de suspensión, conforme determina el art. 56 LOTC, conceder un plazo común de tres días a las partes para que alegasen lo que estimaran conveniente sobre dicha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7 de octubre de 1999 el Ministerio Fiscal estimó procedente la suspensión de la ejecución de la Sentencia, pero limitándose a la pena privativa de libertad. </w:t>
      </w:r>
    </w:p>
    <w:p w:rsidRPr="00C21FFE" w:rsidR="00AD51A7" w:rsidRDefault="008777C4">
      <w:pPr>
        <w:rPr/>
      </w:pPr>
      <w:r w:rsidRPr="&lt;w:rPr xmlns:w=&quot;http://schemas.openxmlformats.org/wordprocessingml/2006/main&quot;&gt;&lt;w:lang w:val=&quot;es-ES_tradnl&quot; /&gt;&lt;/w:rPr&gt;">
        <w:rPr/>
        <w:t xml:space="preserve">Tras recordar la doctrina de este Tribunal, su aplicación al presente caso supone que de no ser suspendida la ejecución de la Sentencia condenatoria se ocasionaría un perjuicio irreparable, y sin que se aprecie que la suspensión provoque una lesión grave y específica del interés general. </w:t>
      </w:r>
    </w:p>
    <w:p w:rsidRPr="00C21FFE" w:rsidR="00AD51A7" w:rsidRDefault="008777C4">
      <w:pPr>
        <w:rPr/>
      </w:pPr>
      <w:r w:rsidRPr="&lt;w:rPr xmlns:w=&quot;http://schemas.openxmlformats.org/wordprocessingml/2006/main&quot;&gt;&lt;w:lang w:val=&quot;es-ES_tradnl&quot; /&gt;&lt;/w:rPr&gt;">
        <w:rPr/>
        <w:t xml:space="preserve">Sin embargo considera que no procede la suspensión en relación a la multa impuesta en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presentó sus alegaciones el 30 de septiembre de 1999, y allí razonó la petición de suspensión de la pena privativa de libertad por la concurrencia de una serie de circunstancias en la persona del condenado.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 las penas restrictivas de derechos (ATC 144/1984).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no es posible extender la suspensión al resto de la parte dispositiva de la Sentencia impugnada, que contiene otros dos pronunciamientos, con un contenido económico, la condena al pago de una multa de dieciocho meses a razón de quinientas pesetas diarias, con diez días de responsabilidad personal subsidiaria en caso de impago, más las costas procesales. Es nuestro criterio, repetidamente expuesto y aplicado sin desmayo alguno, que en principio, y si no concurren otras circunstancias (cuantía excesiva o situación precaria, por ejemplo), las decisiones con efectos exclusivamente patrimoniales no causan en principio perjuicios irreparables, por ser posible la acción de regreso y, en consecuencia, no justifican que se congele su ejecutoriedad. En este caso, por otra parte, no se alega perjuicio alguno, ni siquiera a título hipotético.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acceder a la solicitud de suspensión de la ejecución de la sentencia recurrida, y, en su virtud, suspender únicamente la ejecución de la pena principal privativa de libertad, así como el arresto sustitutorio, en</w:t>
      </w:r>
    </w:p>
    <w:p w:rsidRPr="" w:rsidR="00AD51A7" w:rsidRDefault="008777C4">
      <w:pPr>
        <w:rPr/>
      </w:pPr>
      <w:r w:rsidRPr="&lt;w:rPr xmlns:w=&quot;http://schemas.openxmlformats.org/wordprocessingml/2006/main&quot;&gt;&lt;w:szCs w:val=&quot;24&quot; /&gt;&lt;/w:rPr&gt;">
        <w:rPr/>
        <w:t xml:space="preserve">su caso.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