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marzo de 1999, la Procuradora de los Tribunales doña Beatriz Sánchez Vera y Gómez Trelles, en nombre y representación de don Juan Pérez López, interpuso recurso de amparo constitucional contra la Sentencia de 10 de febrero de 1999, de la Audiencia Provincial de Valencia, (Sección Segunda), que desestimó el recurso de apelación promovido por el actor contra la Sentencia de 12 de noviembre de 1998, dictada por el Juzgado de lo Penal núm. 12 de Valencia, en el procedimiento abreviado proveniente del Juzgado de Instrucción núm. 17 de aquella capital, y por la que se le había condenado como autor de un delito de robo con fuerza en las cosas en grado de tentativa, a la pena de seis meses de prisión, inhabilitación para el derecho de sufragio pasivo durante el tiempo de la condena y al pago de las costas y de una indemnización de 5.206 pesetas a favor de don Vicente Miquel Montagud.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 el recurrente la vulneración de su derecho fundamental a la presunción de inocencia que reconoce el art. 24.2 de la Constitución, por cuanto el fallo condenatorio se apoyó en una prueba de indicios y en meras conjeturas insuficientes para ser considerada como prueba de cargo, sin que, por otra parte, y debido a la ausencia de los policías que elaboraron el atestado, fuese posible someter sus contenidos a contradicción y debate en el plenario. Por medio de "otrosí" se solicitó la suspensión de la ejecución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24 de julio de 2000, se acordó la admisión a trámite del recurso y, por providencia de esa misma fecha, se ordenó formar la presente pieza separada de suspensión, concediendo a los demandantes de amparo y al Ministerio Fiscal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el día 1 de agosto de 2000, el demandante presentó su alegato. En él, se señala la necesidad de suspender la pena privativa de libertad por cuanto su ejecución tendría consecuencias irreversibles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4 de septiembre de 2000. Tras una sucinta exposición de los hechos, considera que en el presente asunto y conforme a la reiterada doctrina del Tribunal, procede acordar la suspensión de la ejecución de la Sentencia en cuanto a la pena privativa de libertad, por la corta duración de la misma (seis meses) en relación con la duración temporal media que puede llevar la tramitación del recurso de amparo, lo que podría privar al proceso de su finalidad. Dicha suspensión, sin embargo, no debe afectar a la ejecución de la Sentencia en cuanto al pago de las costas y de la indemnización civil, puesto que por tratarse de cantidades líquidas siempre podrán ser, en su caso, reintegradas.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desarrollo del mencionado precepto, este Tribunal ha declarado reiteradamente que, en principio, cuando la suspensión se solicita en relación con la ejecución de resoluciones judiciales firmes y definitivas, lo más acorde con el interés general es no acceder a la suspensión de su ejecución y, por ende, no enervar su cumplimiento que dota de efectividad a la tutela judicial (art. 24.1 CE) del litigante que obtuvo un pronunciamiento favorable a sus pretensiones (AATC 81/1981, 186/1998 y 284/1998, entre otros muchos).  Sin embargo, la protección del interés general que subyace a la ejecución de lo juzgado ha de ceder en aquellos supuestos en los que, de no acordarse la suspensión, el amparo perdería su finalidad. Por ello mismo, y como criterio general, no procede suspender aquellos fallos judiciales que admiten la reparación o la restitución íntegra de lo ejecutado (AATC 17/1980, 1980, 257/1986, 249/1989, 141/1990, 212/1994, 35/1996 y 76/1996, entre otros).  Contrariamente, debe entenderse que existe un perjuicio irreparable cuando la no suspensión de la resolución judicial recurrida impide definitivamente la satisfacción del derecho fundamental pretendidamente conculcado, o consolida la vulneración de otro derecho como lo es el de la libertad personal, lo que puede acontecer cuando, como es el caso, se ha impuesto al recurrente de amparo una pena privativa de libertad de corta duración, y previsiblemente la tramitación del amparo puede alargarse más allá del plazo de cumplimiento íntegro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al presente asunto conduce, en consonancia con lo dejado por el Ministerio Fiscal y lo expresamente solicitado por el demandante de amparo, a que se conceda la suspensión únicamente respecto de la pena privativa de libertad de seis meses de prisión.  En efecto, la duración de dicha pena aconseja acordar su suspensión, puesto que no puede descartarse la circunstancia de que la tramitación del recurso se prolongue más allá del plazo de cumplimiento de aquélla, lo que comportaría, en caso de dictarse una Sentencia estimatoria, que el amparo perdiese su finalidad al ser irreversible el perjuicio ocasionado a la libertad personal del demandante de amparo . Por el contrario, no procede acordar la suspensión respecto del pago de la indemnización y de las costas, por cuanto se trata de conceptos económicos susceptibles de restitución (AATC 574/1989 y 117/1999, de 29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acceder a la suspensión solicitada en los términos expuestos.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