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Primera Instancia núm. 13 de Zaragoza, por Auto de 1 de julio de 1999, dictado en el procedimiento verbal civil núm. 901/97, promovido por doña María José Hernández Torronteras, contra don José María Tena Pariente , don Rabah Tamechmecht y las entidades “Pelayo Mutua de Seguros” y “Lloyd Adriático España, S.A”, en reclamación de cantidad por razón del accidente de circulación ocurrido el día 22 de diciembre de 1996, planteó cuestión de inconstitucionalidad en relación con el apartado segundo del artículo 1 de la Ley 122/1962, de 24 de diciembre, sobre Responsabilidad Civil y Seguro de Circulación de Vehículos a Motor (en adelante LRCSCVM), así como los apartados 1,4,5,7 y 10 del ordinal primero del Anexo que la acompaña, según la redacción dada a los mismos por la Disposición adicional octava de la Ley 30/1995, de 8 de noviembre, de Ordenación y Supervisión de los Seguros Privados, por la posible infracción de los arts.14 y 24 -en relación con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Figura en las actuaciones que el mencionado procedimiento verbal civil quedó visto para Sentencia por providencia de 31 de mayo de 1999 y que, por proveído de 8 de junio de aquel año, se había dado traslado al Ministerio Fiscal y a las partes personadas para que, conforme a lo dispuesto en el art. 35 de la LOTC, manifestasen su parecer respecto de la eventual inconstitucionalidad de los citados preceptos de la LRCSCVM. El Ministerio Fiscal señaló que estimaba pertinente que antes de decidir sobre la cuestión se precisase si las indemnizaciones solicitadas por el demandante estaban efectivamente afectadas por el baremo. Por su parte, la demandante interesó que se dictase sentencia en los términos por ella interesados, mientras que “Pelayo Mutua de Seguros” y don José María Tena Pariente solicitaron que se acordase no promover la cuestión de inconstitucionalidad y, en igual sentido se manifestaron don Rabah Tamechmech y la compañía “Lloyd Adriático España, S.A.”. Por providencia del día  24 de junio de 1999 el Juzgado acordó tener por presentado el escrito del Ministerio Fiscal y dejar los autos a la vista para dictar la resolución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Auto de 1 de julio de 1999 el Juzgado de Primera Instancia núm. 13 de Zaragoza acordó elevar al Tribunal Constitucional cuestión de inconstitucionalidad en relación con los preceptos legales anteriormente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25 de julio de 2000, acordó oír al Fiscal general del Estado para que, en el plazo de diez días y a efectos de los dispuesto en el art. 37.1 in fine LOTC, alegase lo que estimase oportuno respecto de la admisión a trámite de la presente cuestión,  habida cuenta de la eventual pérdida sobrevenida de su objeto en virtud de la STC 181/2000, de 29 de junio, en la que el Pleno del Tribunal Constitucional ya se pronunció sobre la constitucionalidad de los preceptos ahora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19 de septiembre de 2000 el Fiscal General del Estado manifestó su parecer en el sentido de que, a la vista de lo fallado en la STC 181/2000, hay que concluir que la presente cuestión ha quedado privada de objeto, contando el órgano promovente con elementos de juicio suficientes para resolver las dudas de constitucionalidad que plantea. Todo ello hace innecesario que se dicte nueva Sentencia cuyo contenido sería sustancialmente igual a la ya dictada. Por lo expuesto, el Fiscal General del Estado interesó la inadmisión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a lo dispuesto en el art. 37.1 LOTC este Tribunal puede “rechazar”, en trámite de admisión y mediante Auto, aquellas cuestiones de inconstitucionalidad que no cumplan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 apoyo en esta  norma el Tribunal Constitucional queda autorizado para acordar la inadmisión de aquellas cuestiones de inconstitucionalidad carentes de objeto, circunstancia sobrevenida en el presente supuesto, en el que la duda de constitucionalidad se plantea en términos jurídicamente similares a los formulados en las cuestiones de inconstitucionalidad acumuladas núms. 3536/96, 47/97, 3249/97, 2823/97, 3297/, 3556/97, 3949/97 y 5175/97, resueltas por la STC 181/2000, de 29 de julio. Pues si bien en el asunto enjuiciado en la STC 181/2000 no se impugnaban expresamente los apartados 4 y 10 del ordinal primero del Anexo, es lo cierto que la mención explícita en la presente cuestión de estos apartados es sólo un mero refuerzo del argumento impugnatorio principal que es en todo coincidente con el formulado y resuelto por las cuestiones de inconstitucionalidad que motivaron la mencionada Sentencia constitucional, dado que en el Auto de planteamiento en ningún momento se hace una referencia autónoma o mínimamente individualizada al contenido normativo de los citados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esta Sentencia, a la que ahora íntegramente nos remitimos, se estimaron parcialmente las cuestiones de inconstitucionalidad, declarándose que, de los preceptos legales impugnados, únicamente procedía declarar inconstitucional y nulo el inciso final del apartado c) del criterio segundo (explicación del sistema), así como el total contenido del apartado letra B) “factores de corrección”, de la tabla V, ambos del Anexo que contiene el “Sistema para la valoración de los daños y perjuicios causados a las personas en accidentes de circulación”, de la LRCSCVM, en la redacción dada a la misma por la Disposición adicional octava de la Ley 30/1995, de 8 de noviembre. Dichos preceptos legales se estimaron contrarios al principio de interdicción de la arbitrariedad (art. 9.3 CE) y al derecho a la tutela judicial efectiva del art. 24.1 CE. Declaración que, conforme a los arts. 164.1 CE y 38.1 LOTC, produce plenos efectos frente a todos a partir de su publicación en el Boletín Oficial de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todo lo expuesto, el Pleno del Tribunal</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cuestión de inconstitucionalidad 3748/99 planteada por el Juzgado de Primera Instancia núm. 13 de Zaragoza en el proceso verbal civil núm. 901/97 tramitado ante aquel Juzgado. </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