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24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septiembre de 1997 tuvo entrada en el Registro de este Tribunal un escrito de la Sección Cuarta de la Sala de lo Contencioso-Administrativo del Tribunal Superior de Justicia de Cataluña, al que se acompaña, junto al testimonio del correspondiente procedimiento, el Auto de la referida Sala de 14 de julio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443/94 planteado por don Luis Griera Cabello contra la Resolución de 30 de noviembre de 1993 del Tribunal Económico-Administrativo Regional de Cataluña, desestimatoria de la reclamación económico-administrativa instada contra la liquidación de un recargo del 50 por 100 por el ingreso fuera de plazo de la cuota tributaria del IRPF correspondiente al primer trimestre de 1992, dictada por la Agencia Estatal de Administración Tributaria (San Cugat del Vallés).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11 de junio de 1997,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el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al actor en el recurso contencioso-administrativo núm. 443/94 por el ingreso extemporáneo del IRPF correspondiente al primer trimestre de 1992, dado que si se tratara de una sanción habría que decretar la nulidad de dicha liquidación por su contradicción con los arts. 24 y 25.1, en relación y combinación con el 9.3, todos ellos de la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1997, la Sección Primera de este Tribunal acordó admitir a trámite la cuestión registrada con el núm. 3917/97;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de10 de noviembre de 1997, el Abogado del Estado pone de manifiesto que por Auto de este Tribunal de 14 de octubre de 1997 se decidió la acumulación de las cuestiones de inconstitucionalidad núms. 662/97, 1740/97, 1757/97 y 1758/97, planteadas por la Sección Cuarta del Tribunal Superior de Justicia de Cataluña sobre el art. 61.2 LGT en su redacción dada por la Disposición adicional 14ª de la Ley 18/1991, de 6 de junio. Dado que, a su juicio, los Autos de planteamiento de dichas cuestiones y los de las cuestiones de inconstitucionalidad núms. 3915/97, 3916/97, 3917/97, 3919/97, 3928/97 y 3929/97, coinciden plenamente en su fundamentación, en el precepto cuestionado y en las normas constitucionales que se entienden vulneradas, el Abogado del Estado suplica la acumulación de todas las cuestiones de inconstitucionalidad citadas, así como que se den por reproducidas las alegaciones aducidas en los escritos obrantes en las cuestiones núms. 662/1997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de entrada el día 14 de noviembre de 1997, el Presidente del Senado traslada el acuerdo de la Mesa por el que se ruega se tenga por personada a la Cámara y ofrecida su colaboración a los efectos del art. 88.1 LOTC. Asimismo, en escrito presentado en la misma fecha,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27 de noviembre de 1997, en el que interesa que, de conformidad con lo dispuesto en los arts. 86.1 y 80 , ambos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de la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lo expuesto, el Pleno del Tribunal </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3917/97,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