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3 de julio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695/94 planteado por “Inversiones Rambla, S.A” contra la Resolución de 18 de febrero de 1994 del Tribunal Económico-Administrativo Regional de Cataluña, desestimatoria de la reclamación económico-administrativa instada contra la liquidación de un recargo del 50 por 100 por el ingreso fuera de plazo de la cuota tributaria del IVA correspondiente al cuarto trimestre de 1990, dictada por la Agencia Estatal de Administración Tributaria (Administración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11 de junio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443/94 por el ingreso extemporáneo del IVA correspondiente al cuarto trimestre de 1990, dado que si se tratara de una sanción habría que decretar la nulidad de dicha liquidación por su contradicción con los arts. 24 y 25.1, en relación y combinación con el 9.3, todos ellos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1997, la Sección Cuarta de este Tribunal acordó admitir a trámite la cuestión registrada con el núm. 3919/97;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de10 de noviembre de 1997, el Abogado del Estado pone de manifiesto que por Auto de este Tribunal de 14 de octubre de 1997 se decidió la acumulación de las cuestiones de inconstitucionalidad núms. 662/97, 1740/97, 1757/97 y 1758/97, planteadas por la Sección Cuarta del Tribunal Superior de Justicia de Cataluña sobre el art. 61.2 LGT en su redacción dada por la Disposición adicional 14ª de la Ley 18/1991, de 6 de junio. Dado que, a su juicio, los Autos de planteamiento de dichas cuestiones y los de las cuestiones de inconstitucionalidad núms. 3915/97, 3916/97, 3917/97, 3919/97, 3928/97 y 3929/97, coinciden plenamente en su fundamentación, en el precepto cuestionado y en las normas constitucionales que se entienden vulneradas, el Abogado del Estado suplica la acumulación de todas las cuestiones de inconstitucionalidad citadas, así como que se den por reproducidas las alegaciones aducidas en los escritos obrantes en las cuestiones núms. 662/1997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14 de noviembre de 1997, el Presidente del Senado traslada el acuerdo de la Mesa por el que se ruega se tenga por personada a la Cámara y ofrecida su colaboración a los efectos del art. 88.1 LOTC. Asimismo, en escrito presentado en la misma fecha,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27 de noviembre de 1997, en el que interesa que, de conformidad con lo dispuesto en los arts. 86.1 y 80 , ambos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t>
      </w:r>
    </w:p>
    <w:p w:rsidRPr="00810A1A" w:rsidR="00AD51A7" w:rsidRDefault="008777C4">
      <w:pPr>
        <w:rPr/>
      </w:pPr>
      <w:r w:rsidRPr="&lt;w:rPr xmlns:w=&quot;http://schemas.openxmlformats.org/wordprocessingml/2006/main&quot;&gt;&lt;w:szCs w:val=&quot;24&quot; /&gt;&lt;w:lang w:val=&quot;es-ES_tradnl&quot; /&gt;&lt;/w:rPr&gt;">
        <w:rPr/>
        <w:t xml:space="preserve">	</w:t>
      </w:r>
    </w:p>
    <w:p w:rsidRPr="00810A1A" w:rsidR="00AD51A7" w:rsidRDefault="008777C4">
      <w:pPr>
        <w:rPr/>
      </w:pPr>
      <w:r w:rsidRPr="&lt;w:rPr xmlns:w=&quot;http://schemas.openxmlformats.org/wordprocessingml/2006/main&quot;&gt;&lt;w:szCs w:val=&quot;24&quot; /&gt;&lt;w:lang w:val=&quot;es-ES_tradnl&quot; /&gt;&lt;/w:rPr&gt;">
        <w:rPr/>
        <w:t xml:space="preserve">	</w:t>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3919/97,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