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octubre de 1997 tuvo entrada en el Registro de este Tribunal un escrito de la Sección Cuarta de la Sala de lo Contencioso-Administrativo del Tribunal Superior de Justicia de Cataluña, al que se acompaña, junto al testimonio del correspondiente procedimiento, el Auto de la referida Sala de 14 de julio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625/94 planteado por don Miguel Ángel López Costea contra la Resolución de 17 de febrero de 1994 del Tribunal Económico-Administrativo Regional de Cataluña, desestimatoria de la reclamación económico-administrativa instada contra la liquidación de un recargo del 50 por 100 por el ingreso fuera de plazo de la cuota tributaria del IRPF correspondiente a los ejercicios 1987 a 1991, dictada por la Agencia Estatal de Administración Tributaria (Delegación de Hacienda de Barcelona).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11 de junio de 1997,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el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al actor en el recurso contencioso-administrativo núm. 625/94 por el ingreso extemporáneo del IRPF de los ejercicios 1987 a 1991, dado que si se tratara de una sanción habría que decretar la nulidad de dicha liquidación por su contradicción con los arts. 24 y 25.1, en relación y combinación con el 9.3, todos ellos de la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de la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enero de 1998, la Sección Tercera de este Tribunal acordó admitir a trámite la cuestión registrada con el núm. 4313/97;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 de febrero de 1997, el Abogado del Estado da por reproducidas las alegaciones que en las cuestiones de inconstitucionalidad núms. 662/97 y 1758/97 formuló el 28 de abril de 1997 y el 29 de julio siguiente, dado que el Auto por el que se plantea la presente cuestión de inconstitucionalidad es de la misma Sección e idéntico tenor que aquellos con que fueron promovidas las dos cuestiones mencionadas, suplicando se dicte sentencia desestimatoria de la cuestión promovida. Asimismo, mediante otrosí suplica se acumule la presente cuestión a las núms. 662/97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de entrada el día 9 de febrero de 1998, el Presidente del Congreso de los Diputados comunica que, aun cuando la Cámara no se personará en el procedimiento ni formulará alegaciones, pone a disposición del Tribunal las actuaciones de aquélla que pueda precisar. Asimismo, en escrito presentado el 11 de febrero de 1998, el Presidente del Senado traslada el acuerdo de la Mesa por el que se ruega se tenga por personada a la Cámara y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12 de febrero de 1998, en el que interesa que, de conformidad con lo dispuesto en los arts. 86.1 y 80 , ambos de la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de la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de la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lo expuesto, el Pleno del Tribunal</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3915/97, promovida por la Sección Cuarta de la Sala de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