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21 de mayo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11 de octubre de 2000, el Procurador de los Tribunales don Rafael Delgado Delgado, en nombre y representación de don Víctor Abejón Baños, interpone recurso de amparo contra la Sentencia dictada por la Sección Primera de la Audiencia Provincial de Burgos el 15 de septiembre de 2000, que confirmó en apelación la dictada por el Juzgado de Instrucción núm. 1 de Aranda de Duero el 25 de mayo de 2000, en el juicio de faltas núm. 119/00, en causa seguida por daños y lesiones. En la demanda de amparo se denuncia la vulneración de los derechos a la tutela judicial efectiva, a la defensa y a la asistencia jurídica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Segunda de este Tribunal, por sendas providencias de 30 de marzo de 2001, acordó, respectivamente, la admisión a trámite de la demanda de amparo y la formación de pieza separada para la tramitación del incidente sobre suspensión de la ejecución, concediendo a la parte recurrente y al Ministerio Fiscal el plazo común de tres días para que alegaran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11 de abril de 2001, la representación procesal del recurrente remite sus alegaciones, señalando la procedencia de la suspensión y devolución de las cantidades ingresadas pues, tanto la multa como la indemnización ya han sido abonadas por terceras personas, para evitar mayores perjuicios como la privación de libertad. Concretamente, la Compañía aseguradora del vehículo dañado ya ha abonado a la mercantil propietaria del mismo el importe de los daños (cantidad coincidente con la indemnización pagada por el recurrente a requerimiento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evacúa el trámite conferido mediante escrito registrado el 20 de abril de 2001. En él, tras recordar la doctrina de este Tribunal sobre el art. 56 LOTC, estima que debe denegarse la suspensión pedida, ya que, al tratarse de penas pecuniarias, admiten la restitución íntegra, incluido el eventual perjuicio, por lucro cesante.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la denegar la suspensión "cuando de ésta pueda seguirse perturbación grave de los intereses generales o de los derechos fundamentales o libertades públicas de un tercero". Concretando esta doctrina al supuesto de ejecución de las Sentencias cuyos efectos son fundamentalmente patrimoniales o de contenido económico, por condenar el fallo al pago de una determinada cantidad, este Tribunal ha declarado que las referidas resoluciones no causan un perjuicio irreparable al obligado al pago por la sentencia condenatoria, ni el amparo puede perder su finalidad, ya que admiten la restitución íntegra de lo ejecutado (AATC 573/1985, 574/1985, 275/1990, 109/1997, 185/1998, 249/2000 y 18/2001, por todos). Esta doctrina es igualmente aplicable a la condena en costas procesales, pues al entrañar un pago en dinero, su ejecución no provoca ningún perjuicio ;; que pueda hacer inútil el recurso de amparo (AATC 244/1991, 267/1995, 152/1996, 370/1996, 28/2000 y 61/2000,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se pretende la suspensión de la ejecución de la condena impuesta en la Sentencia dictada por el Juzgado de Instrucción núm. 1 de Aranda de Duero y confirmada después en apelación por la Audiencia Provincial.  En ella el 1 demandante de amparo fue condenado, como autor responsable de una falta de daños, a la pena de veinte días de multa con una cuota diaria de 500,- pesetas, lo que supone un total de 10.000,- pesetas, y al pago de 33.522,- pesetas como indemnización. Como se ¡ ha expuesto en los antecedentes la multa y la indemnización ya han sido abonadas por la Compañía aseguradora.  Pues bien, de conformidad con la doctrina acabada de extractar, la condena al pago de la indemnización declarada en las Sentencias no es más que una prestación de dar, obligación pecuniaria en suma, cuantificada y recuperable.  No procede, pues, la suspensión de la Sentencia en lo atinente a los pronunciamientos de carácter patrimonial (multa, indemnización y costas procesales), únicas contenidas en la misma, ya que ningún perjuicio irreparable ha ocasionado su ejecución al ser posible su íntegra restitución en caso de estimarse el amparo y declararse la nulidad de la Sentencia que impone dicho pago, reparándose así el perjuicio (AATC 239/1990, 212/1994, 123/1996, 61/1997, 143/1997, 222/1998, 215/1999 y 42/2000), por lo que debe prevalecer el interés general que se halla en el cumplimiento de las resoluciones judiciales, no procediendo adoptar la medida cautelar prevista en el art. 56 LOTC.  Por otra parte, las relaciones entre el recurrente y la Compañía aseguradora constituye una cuestión de legalidad ordinaria en la que este Tribunal no puede entrar.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