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septiembre de 2000, se registra en este Tribunal escrito firmado por la representación del demandante por el que se interpone recurso de amparo contra la Sentencia de 10 de abril de 2000, de la Sala Segunda del Tribunal Supremo, que desestima el recurso de casación núm. 4087/98, y ratifica la condena del recurrente como autor de un delito contra la salud pública, acordada por la Sección Quinta de la Audiencia Provincial de Valencia, en el rollo núm. 28/98, a la pena de prisión de seis años y nueve meses y multa de 180.000.000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condena imputa al recurrente su participación como organizador del desembarco en España de una gran cantidad de hachís. </w:t>
      </w:r>
    </w:p>
    <w:p w:rsidRPr="00C21FFE" w:rsidR="00AD51A7" w:rsidRDefault="008777C4">
      <w:pPr>
        <w:rPr/>
      </w:pPr>
      <w:r w:rsidRPr="&lt;w:rPr xmlns:w=&quot;http://schemas.openxmlformats.org/wordprocessingml/2006/main&quot;&gt;&lt;w:lang w:val=&quot;es-ES_tradnl&quot; /&gt;&lt;/w:rPr&gt;">
        <w:rPr/>
        <w:t xml:space="preserve">El demandante de amparo considera que las Sentencias impugnadas han vulnerado sus derechos a obtener la tutela judicial efectiva mediante una resolución fundada y a la presunción de inocencia (arts.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fecha 28 de junio de 2001 acordó admitir a trámite el recurso de amparo, y dirigir comunicación al órgano judicial correspondiente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en este Tribunal el 5 y 11 de Julio de 2001, el recurrente y el Ministerio Fiscal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a) El recurrente solicita la suspensión de la ejecución de la pena privativa de libertad que le ha sido impuesta. Entiende que aunque la suspensión de las resoluciones judiciales es excepcional en la práctica de este Tribunal, se convierte en este caso en obligada por cuanto la ejecución de las penas impuestas, y singularmente la privativa de libertad, le provocarán perjuicios irreparables. Invoca en su favor anteriores resoluciones de este Tribunal que han admitido la suspensión en el caso de condenas privativas de libertad (AATC 98/1983, 144/1984, 179/1984, 574/1985, 275/1986, 1369/1987, 116/1990 y 95/1991). Añade, por último, que este Tribunal, en la mayor parte de las ocasiones en que ha valorado la posibilidad de suspender penas privativas de libertad ha decretado su suspensión dada la irreversibilidad del perjuicio ocasionado que no admite restauración en su integridad (ATC 3 16/1993). </w:t>
      </w:r>
    </w:p>
    <w:p w:rsidRPr="00C21FFE" w:rsidR="00AD51A7" w:rsidRDefault="008777C4">
      <w:pPr>
        <w:rPr/>
      </w:pPr>
      <w:r w:rsidRPr="&lt;w:rPr xmlns:w=&quot;http://schemas.openxmlformats.org/wordprocessingml/2006/main&quot;&gt;&lt;w:lang w:val=&quot;es-ES_tradnl&quot; /&gt;&lt;/w:rPr&gt;">
        <w:rPr/>
        <w:t xml:space="preserve">b) El Fiscal, por su parte, tras recordar los antecedentes del caso y los criterios generales de la doctrina del Tribunal sobre la suspensión de la ejecución de las resoluciones judiciales, presentó sus alegaciones oponiéndose a la suspensión de la ejecución solicitada por el recurrente. En cuanto a la jurisprudencia específicamente referida a las resoluciones que imponen penas privativas de libertad, destaca el Fiscal la necesidad de proceder a un examen singular de las circunstancias concretas del caso, subrayando la necesidad de ponderar la gravedad y naturaleza de los hechos enjuiciados, su trascendencia social, la duración de la pena impuesta y el tiempo que resta de cumplimiento (AATC 273/1998 y 204/2000) </w:t>
      </w:r>
    </w:p>
    <w:p w:rsidRPr="00C21FFE" w:rsidR="00AD51A7" w:rsidRDefault="008777C4">
      <w:pPr>
        <w:rPr/>
      </w:pPr>
      <w:r w:rsidRPr="&lt;w:rPr xmlns:w=&quot;http://schemas.openxmlformats.org/wordprocessingml/2006/main&quot;&gt;&lt;w:lang w:val=&quot;es-ES_tradnl&quot; /&gt;&lt;/w:rPr&gt;">
        <w:rPr/>
        <w:t xml:space="preserve">Aplicando tales criterios al caso a enjuiciar, concluye su escrito el Fiscal considerando improcedente la suspensión de la pena privativa de libertad y de los pronunciamientos de contenido patrimonial. Para ello valora los siguientes elementos: a) el hecho delictivo (delito contra la salud pública por trafico a gran escala de sustancias estupefacientes) es objetivamente grave, no sólo por la duración de la pena impuesta, sino por el reproche social que conlleva; b) en el momento de interponer la demanda de amparo, el demandante había estado privado de libertad por esta causa muy escaso tiempo, por lo que el amparo, en caso de ser estimado, no perdería íntegramente su finalidad si se da tramitación preferente a este proceso de amparo; c) no ha alegado el recurrente de qué modo el cumplimiento de la pena le causaría concretos e irreversibles perjuicios que puedan hacer perder al amparo su finalidad; y d) los pronunciamientos de contenido económico referidos al pago de la multa y las costas no causan al recurrente perjuicios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 Se establece así una regla general y una excepción, siendo ésta última la posibilidad de suspensión</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general debe ser la de no proceder a la suspensión de tales resoluciones judiciales, salvo que la suspensión solicitada no produzca, en el caso concreto, las perturbaciones graves ya aludidas y se halle acreditada suficientemente tanto la inseparabilidad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y a ella se refiere en su escrito de alegaciones el Ministerio Fiscal,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último criterio general tampoco es absoluto, pues la jurisprudencia de este Tribunal pone de relieve que, en las condenas penales nuestro enjuiciamiento también ha considerado otras circunstancias relevantes, como son las relativas a la gravedad y naturaleza de los hechos enjuiciados y el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163/1996,226/1996,310/1996.349/1996,419/1997, 420/1997 y 79/1998).</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acaba de exponerse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Ha de coincidirse con el Ministerio Fiscal en la objetiva gravedad de los hechos imputados, tanto por su propia naturaleza como por la específica complejidad del delito cometido que exige una serie de relaciones con el exterior y una cierta capacidad de organización delictiva.</w:t>
      </w:r>
    </w:p>
    <w:p w:rsidRPr="00C21FFE" w:rsidR="00AD51A7" w:rsidRDefault="008777C4">
      <w:pPr>
        <w:rPr/>
      </w:pPr>
      <w:r w:rsidRPr="&lt;w:rPr xmlns:w=&quot;http://schemas.openxmlformats.org/wordprocessingml/2006/main&quot;&gt;&lt;w:lang w:val=&quot;es-ES_tradnl&quot; /&gt;&lt;/w:rPr&gt;">
        <w:rPr/>
        <w:t xml:space="preserve">b) En cuanto a la duración de la pena impuesta, por lo expuesto anteriormente, es cierto que su valoración no puede hacerse de manera mecánica y atendiendo sólo a un límite máximo infranqueable, como claramente se desprende de nuestra jurisprudencia (así, por ejemplo, se acordó la suspensión en el ATC 1260/1988, respecto a una pena de seis años de prisión por homicidio con eximente incompleta; en el ATC 105/1993, respecto a una pena de cinco años de prisión por aborto y otros dos por usurpación de funciones; en el ATC 312/1995, respecto a una pena de once años y siete meses de prisión, aunque ya cumplida en una gran parte o en el ATC 202/1997, respecto a una pena de cuatro años, dos meses y un día, en concurso real con otra pena de dos años), sino atendiendo a todas las circunstancias concurrentes.</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una pena grave prevista como principal en el ordenamiento penal: 6 años y 9 meses de prisión y multa de 180 millones de pesetas. El dato objetivo de la duración de la pena privativa de libertad cuantifica, en este caso, el desvalor del comportamiento enjuiciado y el daño social producido según la apreciación del Tribunal sentenciador, que nosotros no podemos revisar en este trámite. Por lo que la duración de la pena impuesta ha de ser apreciada como expresión del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w:t>
      </w:r>
    </w:p>
    <w:p w:rsidRPr="00C21FFE" w:rsidR="00AD51A7" w:rsidRDefault="008777C4">
      <w:pPr>
        <w:rPr/>
      </w:pPr>
      <w:r w:rsidRPr="&lt;w:rPr xmlns:w=&quot;http://schemas.openxmlformats.org/wordprocessingml/2006/main&quot;&gt;&lt;w:lang w:val=&quot;es-ES_tradnl&quot; /&gt;&lt;/w:rPr&gt;">
        <w:rPr/>
        <w:t xml:space="preserve">c) Frente a tales consideraciones, el hecho de que durante la tramitación del proceso penal en el que ha sido condenado el demandante de amparo éste sólo estuviera sometido a prisión provisional durante cuatro meses no es aquí decisivo (ATC 275/1986).  Pues 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(STC 62/1996, FJ1),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Tampoco es objeto de este incidente la verosimilitud de la lesión aducida, pues no pueden anticiparse al momento de la decisión sobre suspensión cuestiones que, por su propia naturaleza, pertenecen al examen de fondo.</w:t>
      </w:r>
    </w:p>
    <w:p w:rsidRPr="00C21FFE" w:rsidR="00AD51A7" w:rsidRDefault="008777C4">
      <w:pPr>
        <w:rPr/>
      </w:pPr>
      <w:r w:rsidRPr="&lt;w:rPr xmlns:w=&quot;http://schemas.openxmlformats.org/wordprocessingml/2006/main&quot;&gt;&lt;w:lang w:val=&quot;es-ES_tradnl&quot; /&gt;&lt;/w:rPr&gt;">
        <w:rPr/>
        <w:t xml:space="preserve">d) En definitiva, si se considera la entidad de la penas impuestas así como la naturaleza de los hechos por los que se impusieron y el hecho de no haberse cumplido en el momento de interponerse la demanda de amparo, prácticamente, sino los primeros meses de la condena, es claro que conceder la suspensión solicitada entrañaría, sin lugar a dudas, una afectación del interés general lo suficientemente grave y específica como para que deba ser aquí aplicable la cláusula final del art. 56 LOTC. Y ello pese a la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228/1896, 310/1996, 394/1996, y 419/1997), pérdida que, en el caso de penas de larga duración, como las impuestas al recurrente, es únicamente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por todo lo expuesto, acordar la suspensión de la ejecución de ninguna de las penas principales impuestas en la Sentencia impugnada, ni tampoco, por tener electos meramente patrimoniales o económicos que, en principio, no causan perjuicios irreparables, de la condena en costas, por entrañar ésta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evidencia de la irreparabilidad de los perjuicios que pueden llegar a causarle al recurrente y la gravedad de los mismos, caso de que el amparo fuera ulteriormente concedido por este Tribunal, nos obliga a reducir en lo posible tan negativos efectos, por lo que, como se ha hecho en casos análogos (AATC 144/1990, 169/1995, 246/1996, 287/1996, 385/1996. 419/1997 y 79/1998 etcétera),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