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junio de 1998, procedente del Juzgado de guardia con fecha del día 20 anterior, el Procurador de los Tribunales don José de Murga Rodríguez, en nombre y representación de don Juan Palau Alonso, formuló recurso de amparo contra la Sentencia 132/1996, de 17 de octubre, de la Sección Segunda de la Audiencia Provincial de Palma de Mallorca (rollo de Sala núm. 72/93), por la que se condena al demandante de amparo, como responsable de un delito contra la salud pública, a la pena de cinco años de prisión menor, con las accesorias legales de suspensión de todo cargo público y del derecho de sufragio durante el tiempo de la condena, y multa de cincuenta y un millones de pesetas sustituible, en caso de impago derivado de insolvencia, por tres meses de responsabilidad personal; y contra la Sentencia 579/1998, de 22 de abril, de la Sala de lo Penal del Tribunal Supremo, recaída en el recurso de casación (núm. 3256/96), interpuesto contra la anterior. Mediante otrosí solicitó la suspensión del ingreso en prisión del recurrente acordado por la Audiencia Provincial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requerirse testimonios de las actuaciones de instancia y casación, por providencia de 14 de diciembre de 1998 la Sección Segunda de este Tribunal acordó abrir trámite de alegaciones, conforme a lo dispuesto en el art. 50.3 LOTC. Evacuado el mismo, mediante sendas providencias de 24 de julio de 2000 la Sección Segunda acordó la admisión a trámite de la demanda de amparo y la formación de la correspondiente pieza de suspensión conforme a lo solicitado por el recurrente, concediendo un plazo común de tres días a éste y al Ministerio Fiscal para que alegasen lo que estimaren pertinente en relación con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este trámite de alegaciones, la Sala Primera dictó el Auto de 2 de octubre de 2000 (ATC 221/2000, de 2 de octubre), acordando suspender la ejecución de la Sentencia 132/1996, de 17 de octubre, de la Sección Segunda de la Audiencia Provincial de Palma de Mallorca (rollo de Sala núm. 72/93), exclusivamente en lo que se refiere a la pena de privación de libertad de cinco años de prisión menor y accesorias de suspensión de todo cargo público y del derecho de sufragio durante el tiempo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4 de diciembre de 2001 tiene entrada en el registro de este Tribunal escrito presentado por la representación procesal del demandante de amparo en el que se solicita que, continuando con la tramitación del recurso en amparo, se deje sin efecto la suspensión acordada en el ATC 221/2000, de 2 de octubre, toda vez que, debido a que el recurrente está cumpliendo actualmente condena por otros hechos, dicha suspensión le impide acogerse al beneficio de la refundición de condenas, con el perjuicio que ello conlleva en materia de clasificación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10 de diciembre de 2001 la Sala Primera de este Tribunal acordó dar traslado de la solicitud de levantamiento de la suspensión formulada por el recurrente al Ministerio Fiscal, para que en plazo de tres días alegase lo que estimare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con fecha 17 de diciembre de 2001, manifestando que procede acceder a lo solicitado por el recurrente y acordar en consecuencia el alzamiento de la suspensión de la ejecución de las penas en su día impuestas.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conformidad con lo dispuesto en el art. 57 LOTC, la decisión que inicialmente se hubiere adoptado sobre la suspensión interesada de la ejecución de la resolución recurrida en amparo,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la representación procesal del demandante de amparo solicita el alzamiento de la suspensión en su día decretada, alegando para ello que el recurrente está cumpliendo actualmente condena por otros hechos distintos a los enjuiciados en la Sentencia de la Audiencia Provincial de Palma de Mallorca recurrida en amparo, por lo que la suspensión de la ejecución de esta Sentencia le impide acogerse al beneficio de la refundición de condenas, con el perjuicio que ello conlleva en materia de clasificación penitenciaria.</w:t>
      </w:r>
    </w:p>
    <w:p w:rsidRPr="00C21FFE" w:rsidR="00AD51A7" w:rsidRDefault="008777C4">
      <w:pPr>
        <w:rPr/>
      </w:pPr>
      <w:r w:rsidRPr="&lt;w:rPr xmlns:w=&quot;http://schemas.openxmlformats.org/wordprocessingml/2006/main&quot;&gt;&lt;w:lang w:val=&quot;es-ES_tradnl&quot; /&gt;&lt;/w:rPr&gt;">
        <w:rPr/>
        <w:t xml:space="preserve">Como señala el Ministerio Fiscal, la circunstancia descrita por el recurrente de amparo constituye en efecto circunstancia sobrevenida, por lo que resulta procedente acordar el levantamiento de la suspensión acordada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Acceder a la petición de levantamiento de la suspensión decretada por ATC 221/2000, de 2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