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17 de mayo de 2001 y en este Tribunal el 21 de mayo siguiente, la Procuradora de los Tribunales doña Marta de la Paz Martínez Vega, en nombre y representación de don Benigno Andrés Valdés Bermejo, interpuso demanda de amparo contra la Sentencia de la Audiencia Provincial de Asturias, Sección Séptima, de 20 de marzo de 2001, que confirma en apelación la del Juzgado de lo Penal núm. 1 de los de Gijón, de fecha 15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antecedentes de hecho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fue condenado en primera instancia por Sentencia del Juzgado de lo Penal núm. 1 de los de Gijón, de 15 de diciembre de 2000, como autor de un delito de robo con fuerza en las cosas sin circunstancias, a la pena de un año de prisión, accesoria legal y al pago de la mitad de las costas. b) c) El Juez de instancia considera probado que el recurrente y el otro condenado, actuando de mutuo acuerdo, tras forzar la cerradura de un vehículo, se apoderaron de un maletín que había en su interior, que contenía diversos objetos, entre otros unas tarjetas de crédito, recuperados en el momento de la detención en poder del otro condenado. d) e) La prueba de cargo utilizada en la sentencia de instancia para enervar la presunción de inocencia es la testifical de los agentes de la policía que intervienen en la detención (quienes relatan que reciben una llamada anónima en que se les comunicaba que un individuo provisto de unas tarjetas bancarias intentaba manipular un cajero automático y otro, provisto de un maletín, trataba de abrir un vehículo, e igualmente que el maletín lo habían dejado en una ventana de un comercio próximo), el hallazgo de todas las tarjetas sustraídas en poder del otro acusado poco tiempo después de la sustracción y las declaraciones de los propios acusados, que ofrecen una explicación insatisfactoria de la manera en que las tarjetas habían llegado a su poder (que las habían hallado en un contenedor). f) g) Recurrida dicha Sentencia en apelación, la Sección Séptima de la Audiencia Provincial de Asturias, con fecha 20 de marzo de 2001, desestima el recurso. En esta última Sentencia, pese a afirmarse la carencia de eficacia probatoria de la descripción del contenido que de la llamada telefónica anónima se hizo por los Policías comparecientes en el acto del juicio oral, se afirma la existencia de "otros indicios suficientes y acreditados sobre los que sustentar, de acuerdo con la lógica, la conclusión incriminatoria a que llega la resolución recurrida". El más importante de los cuales es el hallazgo de los objetos sustraídos en poder de los condenados, al que se añade el escaso margen de tiempo transcurrido entre la detención en el lugar de los hechos y el momento en que el perjudicado dejó estacionado su vehículo, y la inverosimilitud de las declaraciones de los encausados sobre cómo llegaron a su poder las tarjetas, o incluso la falta de toda explicación al respecto. Y, a partir de tales indicios, se afirma la racionalidad de la inferencia realizada por el Juzgador "a quo". h) 3. El recurrente fundamenta su demanda de amparo en la lesión del derecho fundamental a la presunción de inocencia (art. 24.2 CE). Alega que no existió prueba de cargo alguna contra él, ni siquiera indiciaria, suficiente para desvirtuar tal presunción, pues él no tenía en su poder material robado alguno, sino que todos los objetos fueron hallados en poder del otro condenado, por lo que ni siquiera el hecho indiciario fundamental consta plenamente acreditado. Y, al margen del citado hecho, todos los demás son meras conjeturas del Juzgador, sin valor probatorio alguno. </w:t>
      </w:r>
    </w:p>
    <w:p w:rsidRPr="00C21FFE" w:rsidR="00AD51A7" w:rsidRDefault="008777C4">
      <w:pPr>
        <w:rPr/>
      </w:pPr>
      <w:r w:rsidRPr="&lt;w:rPr xmlns:w=&quot;http://schemas.openxmlformats.org/wordprocessingml/2006/main&quot;&gt;&lt;w:lang w:val=&quot;es-ES_tradnl&quot; /&gt;&lt;/w:rPr&gt;">
        <w:rPr/>
        <w:t xml:space="preserve">Por ello, solicita que se declare la nulidad de las sentencias impugnadas, se restablezca al demandante en su derecho y se retrotraigan las actuaciones al momento inmediatamente anterior a dictar Sentencia. Igualmente se solicita la suspensión de la ejecución de la Sentencia y el nombramiento de Procurador de los del turno de oficio. </w:t>
      </w:r>
    </w:p>
    <w:p w:rsidRPr="00C21FFE" w:rsidR="00AD51A7" w:rsidRDefault="008777C4">
      <w:pPr>
        <w:rPr/>
      </w:pPr>
      <w:r w:rsidRPr="&lt;w:rPr xmlns:w=&quot;http://schemas.openxmlformats.org/wordprocessingml/2006/main&quot;&gt;&lt;w:lang w:val=&quot;es-ES_tradnl&quot; /&gt;&lt;/w:rPr&gt;">
        <w:rPr/>
        <w:t xml:space="preserve">4. Por Providencia de 21de enero de 2002, la Sección Primera de este Tribunal acordó conceder al demandante de amparo y al Ministerio Fiscal, en virtud del art. 50.3 LOTC, un plazo de diez días para presentar alegaciones, en relación con la causa de inadmisión prevista en el art. 50.1 c) LOTC, esto es, la carencia manifiesta de contenido de la demanda, que justifique una decisión sobre el fondo de la misma. </w:t>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día 4 de enero de 2002 y que tuvo su entrada en este Tribunal el 6 de febrero siguiente, la representación procesal del recurrente formuló alegaciones, reiterando resumidamente los motivos y argumentos ya deducidos en el escrito de interposición del recurso y solicitando finalmente que se admitiese a trámite la demanda y se resolviese sobre el fondo de la misma. </w:t>
      </w:r>
    </w:p>
    <w:p w:rsidRPr="00C21FFE" w:rsidR="00AD51A7" w:rsidRDefault="008777C4">
      <w:pPr>
        <w:rPr/>
      </w:pPr>
      <w:r w:rsidRPr="&lt;w:rPr xmlns:w=&quot;http://schemas.openxmlformats.org/wordprocessingml/2006/main&quot;&gt;&lt;w:lang w:val=&quot;es-ES_tradnl&quot; /&gt;&lt;/w:rPr&gt;">
        <w:rPr/>
        <w:t xml:space="preserve">6. El 6 de febrero de 2002 tuvieron entrada en el registro de este Tribunal las alegaciones del Ministerio Fiscal, en las que solicita la inadmisión del recurso, por carecer manifiestamente de contenido constitucional. Sostiene el Fiscal que, aunque el recurrente limita su pretensión a la inexistencia de prueba de cargo, por no habérsele intervenido a él ninguno de los objetos sustraídos, olvida que su condena se fundamenta en haber actuado de mutuo acuerdo con el otro condenado, en cuyo poder sí se intervinieron parte de los objetos sustraídos, por lo que el juicio de constitucionalidad ha de versar, no sobre la inexistencia de prueba de cargo, sino sobre la idoneidad de la prueba indiciaria practicada para fundamentar la condena. Y, en este punto, sostiene el Fiscal que están plenamente acreditados por prueba directa los hechos constitutivos de indicios (la detención del recurrente y su acompañante en el lugar de los hechos poco tiempo después de la sustracción, la intervención en poder de uno de ellos de parte de los efectos sustraídos, y el hallazgo del maletín robado en el lugar en que fue visto por el comunicante anónimo), que existe un nexo lógico y suficiente entre los indicios y la participación del demandante de amparo en la sustracción, y que las Sentencias recurridas expresan ampliamente el razonamiento seguido para llegar a la inferencia que fundamenta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el presente recurso es, esencialmente, la suficiencia o idoneidad de la prueba indiciaria practicada para fundamentar la condena del recurrente, algo que según éste no se produce y que habría determinado la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reiteradísima doctrina de este Tribunal, desde STC 31/1981, de 28 de julio, el derecho a la presunción de inocencia exige que el fallo condenatorio se fundamente en prueba de cargo válida. Esta prueba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 y 175/1985, ambas de 17 de diciembre; 24/1997, de 11 de febrero; 189/1998, de 28 de septiembre; 220/1998, de 16 de noviembre; 44/2000, de 14 de febrero; 124/2001, de 4 de junio).  Constituye también constante doctrina de este Tribunal la afirmación de la "radical falta de competencia de esta jurisdicción de amparo para la valoración de la actividad probatoria practicada en el proceso penal y para la evaluación de dicha valoración conforme a criterios de calidad o de oportunidad", y que "nuestra misión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STC 220/1998, de 16 de noviembre, FJ 3).</w:t>
      </w:r>
    </w:p>
    <w:p w:rsidRPr="00C21FFE" w:rsidR="00AD51A7" w:rsidRDefault="008777C4">
      <w:pPr>
        <w:rPr/>
      </w:pPr>
      <w:r w:rsidRPr="&lt;w:rPr xmlns:w=&quot;http://schemas.openxmlformats.org/wordprocessingml/2006/main&quot;&gt;&lt;w:lang w:val=&quot;es-ES_tradnl&quot; /&gt;&lt;/w:rPr&gt;">
        <w:rPr/>
        <w:t xml:space="preserve">En relación con la prueba indiciaria, dicho control de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este último caso, este Tribunal afirma que ha de ser especialmente cauteloso,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220/1998, de 16 de noviembre; 120/1999, de 28 de junio; 44/2000,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estas líneas jurisprudenciales al caso que nos ocupa, cabe afirmar -como sostiene el Ministerio Fiscal-, en primer lugar, que sí existen indicios que tanto la Sentencia de instancia como la de apelación exponen detalladamente (fundamentalmente, que el recurrente fue detenido con su acompañante en el lugar de los hechos poco después de la sustracción; que se hallaron en poder de uno de ellos las tarjetas de crédito sustraídas y que otro de los efectos sustraídos -el maletín- se halló en el lugar en que fue visto por el comunicante anónimo); en segundo lugar, que los mismos pueden considerarse plenamente probados y, por último, que a partir de ellos las Sentencias realizan una serie de inferencias razonables, desde el punto de vista de su lógica o coherencia, que le llevan a afirmar la participación del recurrente en el robo que se le imputa, y que dicha inferencia no resulta indeterminada, ni excesivamente abierta, sino que puede considerarse concluyente, especialmente si se tienen en cuenta los datos de la proximidad espacial y temporal a la sustracción y que ni el recurrente ni la otra persona ofrecen una explicación satisfactoria acerca de por qué se hallaban en su poder los objetos sustraídos. A la vista de lo cual, no puede entenderse vulnerado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conforme a lo establecido en el art.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