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29 de junio de 2000, la Procuradora de los Tribunales doña María Soledad San Mateo García, en nombre y representación de don José Antonio Mas Farre, interpone recurso de amparo contra la Sentencia dictada por la SecAudiencia Provincial de Alicante el 19 de mayo de 2000, en el rollo de apelación núm. 83/00, por la que se condenó al recurrente, como autor responsable de un delito contra la seguridad del tráfico, a las penas de 100.000 pesetas de multa con arresto sustitutorio de cuatro días en caso de impago y privación del permiso de conducir o del derecho a obtenerlo por tiempo de tres meses y un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14 de febrero de 2002, acordó, respectivamente, la admisión a trámite de la demanda de amparo y la formación de pieza separada para la tramitación del incidente sobre la suspensión solicitada, concediendo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Sra. San Mateo efectúa sus alegaciones, mediante escrito registrado el 27 de febrero de 2002, insistiendo, como ya lo hizo en la demanda de amparo, en que la no suspensión de la pena de privación del permiso de conducir durante tres meses y un día ocasionaría un perjuicio irreparable al recurrente, haciendo perder al amparo su finalidad, sin que existan motivos de denegación por peligro de perturbación grave de los intereses generales o libertades públicas de un tercero. No se hace referencia alguna respecto de la pena de multa y del arresto sustitutorio,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evacúa el trámite conferido mediante escrito registrado el 4 de marzo de 2002. En él señala que, al tratarse de una pena privativa de derechos, el interés general de la efectividad del cumplimiento de la condena impuesta exige que se proceda a denegar la suspensión solicitada, pues, además, el actor no ha alegado la concurrencia de circunstancias personales o laborales que la justifiquen.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y 25/2002).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el recurrente nada solicita respecto a la multa impuesta y, en caso de impago, al arresto sustitutorio de cuatro días, aplicada la doctrina expuesta al presente caso, ha de accederse a la suspensión solicitada por el recurrente respecto de la pena de privación del permiso de conducir pues, analizando el supuesto de autos, puede advertirse que el delito contra la seguridad del tráfico previsto y penado en el derogado art. 340 bis a) del Código Penal, texto refundido de 1973 (en la actualidad contenido en el art.  379 del Código vigente) por el que ha sido condenado el ahora demandante de amparo, no reviste notoria gravedad y la corta duración de la pena de privación del permiso de conducir impuesta, haría perder al amparo su finalidad caso de no accederse a la suspensión interesada. Por ello procede acordar la suspensión de conformidad con la doctrina reiterada de este Tribunal (AATC 136/1996, de 27 de marzo, FJ 2 y 55/1998, de 2 de marzo, FJ 3,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Sección Primera de la Audiencia Provincial de Alicante de 19 de marzo de 2000, en el rollo de apelación núm.  83/00, tan solo respecto de la pena de privación del permiso de conducir.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veintidós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