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7 de mayo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marzo de 2001, la Letrada de la Junta de Extremadura, en la representación que legalmente ostenta, promovió recurso de inconstitucionalidad frente a los arts. 79 a 83 de la Ley 13/2000, de 28 de diciembre, de Presupuestos Generales del Estado para el año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inconstitucionalidad fue admitido a trámite mediante providencia de la Sección Tercera de fecha 27 de marzo de 2001. Dicha providencia también acordó dar traslado de la demanda y documentos presentados al Congreso de los Diputados, al Senado y al Gobierno, a fin de que pudieran personarse en el procedimiento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compareció el Abogado del Estado, en representación del Gobierno, solicitando que en su día el Tribunal dicte Sentencia por la que se desestime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Congreso de los Diputados, comunicó al Tribunal que no se personaría ni formularía alegaciones, mientras que el Senado se dio por personado pero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25 de febrero de 2002, el Letrado de la Junta de Extremadura comunicó al Tribunal que, siguiendo instrucciones del Consejo de Gobierno de la Junta de Extremadura, conforme a su Acuerdo adoptado en sesión de 19 de febrero de 2001, que adjunta, desiste del recurso de inconstitucionalidad planteado frente a la Ley 13/2000, de 28 de diciembre, de Presupuestos Generales del Estado para el año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26 de febrero de 2002, la Sección Tercera acordó tener por recibido el escrito presentado por el Letrado de la Junta de Extremadura el día 25 de febrero de 2002 y dar traslado del mismo al Abogado del Estado para que alegue lo que estime oportuno acerca de la solicitud de desistimiento formulada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registrado el día 12 de marzo de 2002, comunicó al Tribunal que no se opone a la solicitud de desistimiento presentada por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En virtud de lo dispuesto en tales preceptos, puede estimarse como forma admitida para poner fin a un recurso de inconstitucionalidad la manifestación de la voluntad de desistir, según reiterada jurisprudencia de este Tribunal,</w:t>
      </w:r>
    </w:p>
    <w:p w:rsidRPr="00C21FFE" w:rsidR="00AD51A7" w:rsidRDefault="008777C4">
      <w:pPr>
        <w:rPr/>
      </w:pPr>
      <w:r w:rsidRPr="&lt;w:rPr xmlns:w=&quot;http://schemas.openxmlformats.org/wordprocessingml/2006/main&quot;&gt;&lt;w:lang w:val=&quot;es-ES_tradnl&quot; /&gt;&lt;/w:rPr&gt;">
        <w:rPr/>
        <w:t xml:space="preserve">siempre que no se opongan las demás partes en el recurso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procesal del recurrente, debidamente autorizada, según certificaciones de los acuerdos adoptados al efecto por el Consejo de Gobierno de la Junta de Extremadura, pide que se le tenga por desistido del recurso interpuesto y el Abogado del Estado no plantea ninguna objeción los desistimientos formalizados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Consejo de Gobierno de la Junta de Extremadura en el recurso de inconstitucionalidad núm. 1330-2001 promovido por el mismo contra los arts. 79 a 83 de la Ley 13/2000, de 28 de diciembre, de Presupuestos Generales del Estado para el año 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