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5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17 de mayo de 2001 el Procurador de los Tribunales don José Manuel Dorremochea Aramburu, en nombre y representación de don Juan Carlos Prieto Fernández, interpone recurso de amparo contra la Sentencia dictOctava de la Audiencia Provincial de Barcelona el 21 de marzo de 2001, en el rollo de apelación núm. 107-2001, por la que se condenó al recurrente, como autor responsable de un delito contra la seguridad del tráfico, a las penas de cinco meses de multa con una cuota diaria de mil pesetas, con la responsabilidad personal subsidiaria de un día de privación de libertad por cada dos cuotas impagadas, y privación del permiso de conducir vehículos a motor y ciclomotores por el plazo de un año y seis meses y pago de las costas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21 de mayo de 2002, acordó, respectivamente, la admisión a trámite de la demanda de amparo y la formación de pieza separada para la tramitación del incidente sobre la suspensión solicitada, concediendo al recurrente y al Ministerio Fiscal el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Sr. Dorremochea Aramburu efectúa sus alegaciones mediante escrito registrado el 30 de mayo de 2002, insistiendo, como ya lo hizo en la demanda de amparo, en que la no suspensión de la pena de privación del permiso de conducir de un año y seis meses ocasionaría un perjuicio irreparable al recurrente que, además, es chofer de profesión, haciendo perder al amparo su finalidad, sin que existan motivos de denegación por peligro de perturbación grave de los intereses generales o libertades públicas de un tercero. No se hace referencia alguna respecto de la pena de multa y del arresto sustitutorio,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evacúa el trámite conferido mediante escrito registrado el 3 de junio de 2002. En él señala que la pena de multa, al ser de contenido meramente económico, admitiría la restitución íntegra del perjuicio causado por su ejecución, además de no haberse alegado perjuicio alguno que justifique la suspensión de dicha pena, por lo que no debe suspenderse, como tampoco el pago de las costas, por idénticos motivos. En cuanto a la pena de privación del permiso de conducir el Fiscal considera que, alegadas circunstancias laborales para solicitar la suspensión y acreditada en las actuaciones que la profesión del recurrente es conductor de camiones, la no suspensión acarrearía graves perjuicios al no poder trabajar, por lo que estima debe accederse a la suspensión de esa concreta pena a pesar de la no desdeñable gravedad de los hechos, pues no existiría perjuicio a terceros ni perturbación grave de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y 25/2002).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el recurrente nada solicita respecto a la multa impuesta y, en caso de impago, al arresto sustitutorio, ni a las costas, aplicada la doctrina expuesta al presente caso, no ha de accederse a su suspensión. Cuestión distinta es la referida a la pena de privación del permiso de conducir, pues, analizando el supuesto de autos, aunque puede advertirse que los hechos por los que fue condenado entrañan gravedad, sí aparece alegada y acreditada la existencia de un posible perjuicio de difícil reparación al recurrente, de prosperar el amparo, basado en circunstancias laborales, habida cuenta de que su profesión es la de conductor de camiones. Además no se aprecia la existencia de eventuales perjuicios a terceros y de perturbación grave de los intereses generales más allá de la que toda inejecución de una Sentencia por sí mismo comporta. En ese sentido, concurren circunstancias que indican que se haría perder al amparo su finalidad en caso de no accederse a la suspensión interesada. Por ello procede acordar la suspensión de la pena de privación del permiso de conducir.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Sección Octava de la Audiencia Provincial de Barcelona 21 de marzo de 2001, en el rollo de apelación núm.  107-2001, tan sólo respecto de la pena de privación del permiso de conducir.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