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marzo de 2001 fue registrado en este Tribunal oficio de fecha 8 de marzo de 2001, remitido por la Sala de lo Contencioso Administrativo (Sección Segunda) del Tribunal Superior de Justicia del País Vasco, al que se adjuntaba, entre otros testimonios, el del Auto del mismo órgano judicial, de 24 de noviembre de 2000,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Decreto del Alcalde de Guecho, de 2 de agosto de 1999, por el que se exigía el pago de 6.964.325 pesetas como valor del 10 por 100 del aprovechamiento urbanístico de cesión obligatoria correspondiente a la realización de obras de construcción de 2 viviendas, oficina y garajes en la calle Paseo del Puerto, núm. 15, de Guecho. Antes de dictar la Sentencia para resolver el recurso de apelación interpuesto contra la Sentencia de primera instancia, la Sala de lo Contencioso Administrativo (Sección Segunda) del Tribunal Superior de Justicia del País Vasco dictó providencia de 13 de octubre de 2000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en la instancia.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2001 la Sección Segunda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 La admisión a trámite de la presente cuestión de inconstitucionalidad fue publicada en el Boletín Oficial del Estado de 10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14 de mayo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que tuvo entrada en este Tribunal el 17 de mayo de 2001 presentó sus alegaciones el Abogado del Estado, en representación del Gobierno de la Nación, que concluía solicitando que se estimara la cuestión planteada. Las alegaciones del Letrado del Parlamento Vasco fueron presentadas por escrito que tuvo entrada en este Tribunal el 17 de mayo de 2001, en el que se solicitaba la desestimación de la cuestión. El Letrado de los Servicios Jurídicos Centrales de la Administración de la Comunidad Autónoma del País Vasco presentó su escrito de alegaciones el 23 de mayo de 2001 y en él solicitaba la desestimación de la cuestión de inconstitucionalidad. El Fiscal General del Estado presentó su escrito de alegaciones el 28 de mayo de 2001 y en él solicitaba la desestimación de la cuestión planteada. Por escrito que tuvo entrada en este Tribunal el 29 de mayo de 2001 la Presidenta del Senado comunicaba que la Mesa de la Cámara había adoptado el acuerdo de solicitar que se la tuviera por personada en este proceso y de ofrecer su colaboración a los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2002 la Sección Segunda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4 de junio de 2002; el Letrado de los Servicios Jurídicos Centrales de la Administración de la Comunidad Autónoma del País Vasco, por escrito presentado el 31 de mayo de 2002; y el Fiscal General del Estado, por escrito presentado el 6 de junio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que la cuestión se limita a plantear la duda de constitucionalidad de la nueva redacción que el citado artículo único de la Ley vasca 11/1998 dio al párrafo primero del apartado 1 del artículo único de la Ley del Parlamento Vasco 3/1997, de 25 de abril, por la que se determina la participación de la comunidad en las plusvalías generadas por la acción urbanística. Así pues, resulta patente que el único inciso que constituye el objeto de esta cuestión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sobrevenida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 Es esta extinción procesal una figura "cuya integración dentro de nuestro sistema de justicia constitucional resulta plenamente viable, pese al silencio de la LOTC, en razón de la virtualidad propia de los principios que inspiran la institución procesal" (AATC y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1433-2001,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