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marzo de 2001 fue registrado en este Tribunal oficio de fecha 13 de marzo de 2001, remitido por la Sala de lo Contencioso Administrativo (Sección Segunda) del Tribunal Superior de Justicia del País Vasco, al que se adjuntaba, entre otros testimonios, el del Auto del mismo órgano judicial, de 21 de febrero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Del citado Auto se deduce implícita pero claramente que el objeto de esta cuestión de inconstitucionalidad se limita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Acuerdo de la Comisión de Gobierno del Ayuntamiento de Guecho, de 13 de marzo de 1999, por el que se exigía el pago en metálico de 6.864.080 pesetas como valor del 10 por 100 del aprovechamiento urbanístico de cesión obligatoria correspondiente a la realización de obras de construcción de 5 viviendas, garajes y trasteros, entre las calles Venturillena y Jaime Morera de Guecho. Antes de dictar la Sentencia para resolver el recurso de apelación interpuesto contra la Sentencia de primera instancia, la Sala de lo Contencioso Administrativo (Sección Segunda) del Tribunal Superior de Justicia del País Vasco dictó providencia de 28 de diciembre de 2000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sería un presupuesto de hecho del que necesariamente habría que partir, puesto que este dato no fue controvertido por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19 de junio de 2001 la Sección Cuarta de este Tribunal acordó admitir a trámite la presente cuestión de inconstitucionalidad; dar traslado de las actuaciones recibidas, conforme establece el art. 37.2 LOTC, al Congreso de los Diputados y al Senado, así como al Gobierno y al Parlamento Vasco, por conducto de sus Presidentes, al Gobierno de la Nación, por conducto del Ministro de Justicia, y al Fiscal General del Estado, para que pudieran personarse en el proceso y formular las alegaciones que tuvieran por convenientes; y publicar la incoación de la cuestión en los Boletines Oficiales del Estado y del País Vasco. La admisión a trámite de la presente cuestión de inconstitucionalidad fue publicada en el Boletín Oficial del Estado de 6 de julio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este Tribunal el 11 de julio de 2001 la Presidenta del Senado comunicaba que la Mesa de la Cámara había adoptado el acuerdo de solicitar que se la tuviera por personada en este proceso y de ofrecer su colaboración a los efectos de lo dispuesto en el art. 88.1 LOTC. El Fiscal General del Estado presentó su escrito de alegaciones el 12 de julio de 2001 y en él solicitaba la desestimación de la cuestión planteada tras su acumulación a la cuestión de inconstitucionalidad núm. 6292-2000. Las alegaciones del Letrado del Parlamento Vasco fueron presentadas por escrito que tuvo entrada en este Tribunal el 13 de julio de 2001, en el que se solicitaba la desestimación de la cuestión. Por escrito que tuvo entrada en este Tribunal el 13 de julio de 2001 presentó sus alegaciones el Abogado del Estado, en representación del Gobierno de la Nación, que concluía solicitando que se estimara la cuestión planteada. Por escrito que tuvo entrada en este Tribunal el 10 de julio de 2001 la Presidenta del Congreso de los Diputados comunicaba que el Congreso no se personaría en este proceso constitucional, ni formularía alegaciones, si bien se ponían a disposición de este Tribunal las actuaciones de la Cámara que pudieran requerirse de la Dirección de Estudios y Documentación de la Secretaría General. El Letrado de los Servicios Jurídicos Centrales de la Administración de la Comunidad Autónoma del País Vasco presentó su escrito de alegaciones el 16 de julio de 2001 y en él solicitaba la desestimación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21 de mayo de 2002 la Sección Cuarta de este Tribunal acordó oír al Fiscal General del Estado, al Abogado del Estado y a los representantes procesales del Parlamento y del Gobierno Vascos para que alegaran lo que estimaran conveniente sobre la posible extinción de esta cuestión de inconstitucionalidad como consecuencia de la carencia sobrevenida de objeto derivada de la STC 54/2002, de 27 de febrero, publicada en el Boletín Oficial del Estado de 3 de abril de 2002. Formularon alegaciones el Abogado del Estado, por escrito presentado el 4 de junio de 2002; el Letrado de los Servicios Jurídicos Centrales de la Administración de la Comunidad Autónoma del País Vasco, por escrito presentado el 31 de mayo de 2002; y el Fiscal General del Estado, por escrito presentado el 6 de junio de 2002. Todos ellos solicitaban que se dictara Auto por el que se declarara la extinción de la presente cuestión de inconstitucionalidad, dado que la Sentencia citada ya ha declarado la inconstitucionalidad parcial del precepto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Se desprende de forma evidente del Auto de planteamiento de la cuestión y de la providencia por la que el órgano judicial abrió el trámite de audiencia previsto en el art.  35.2 LOTC, que la cuestión se limita a plantear la duda de constitucionalidad de la nueva redacción que el citado artículo único de la Ley vasca 11/1998 dio al párrafo primero del apartado 1 del artículo único de la Ley del Parlamento Vasco 3/1997, de 25 de abril, por la que se determina la participación de la comunidad en las plusvalías generadas por la acción urbanística. Así pues, resulta patente que el único inciso que constituye el objeto de esta cuestión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se ha producido la extinción sobrevenida de este proceso como consecuencia de la desaparición sobrevenida de su objeto.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108/2001, de 8 de mayo, FJ Único; y 14/1996, de 17 de enero, FJ Único). Es esta extinción procesal una figura "cuya integración dentro de nuestro sistema de justicia constitucional resulta plenamente viable, pese al silencio de la LOTC, en razón de la virtualidad propia de los principios que inspiran la institución procesal" (AATC 114/1996, de 17 de enero, FJ Único ); y 108/2001, de 8 de mayo,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1716-2001,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