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julio de 2001 fue registrado en este Tribunal oficio de fecha 13 de julio de 2001, remitido por la Sala de lo Contencioso Administrativo (Sección Segunda) del Tribunal Superior de Justicia del País Vasco, al que se adjuntaba, entre otros testimonios, el del Auto del mismo órgano judicial, de 4 de julio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Del citado Auto se deduce implícita pero claramente que el objeto de esta cuestión de inconstitucionalidad se limita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Decreto núm. 924/1999, de 29 de octubre, por el que se otorgaba licencia de obras para construir una vivienda unifamiliar en la parcela núm. 62 de la Urbanización Jaizkibel, condicionada al pago de 3.009.420 pesetas en concepto de cesión del 10 por 100 del aprovechamiento urbanístico. Antes de dictar la Sentencia para resolver el recurso de apelación interpuesto contra la Sentencia de primera instancia, la Sala de lo Contencioso Administrativo (Sección Segunda) del Tribunal Superior de Justicia del País Vasco dictó providencia de 5 de junio de 2001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sería un presupuesto de hecho del que necesariamente habría que partir, puesto que este dato no fue controvertido por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2001 la Sección Primera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 La admisión a trámite de la presente cuestión de inconstitucionalidad fue publicada en el Boletín Oficial del Estado de 2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4 de octubre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Por escrito que tuvo entrada en este Tribunal el 4 de octubre de 2001 la Presidenta del Senado comunicaba que la Mesa de la Cámara había adoptado el acuerdo de solicitar que se la tuviera por personada en este proceso y de ofrecer su colaboración a los efectos de lo dispuesto en el art. 88.1 LOTC. Por escrito que tuvo entrada en este Tribunal el 9 de octubre de 2001 presentó sus alegaciones el Abogado del Estado, en representación del Gobierno de la Nación, que concluía solicitando que se estimara la cuestión planteada. La Letrada de los Servicios Jurídicos Centrales de la Administración de la Comunidad Autónoma del País Vasco presentó su escrito de alegaciones el 11 de octubre de 2001 y en él solicitaba la desestimación de la cuestión de inconstitucionalidad. Las alegaciones del Letrado del Parlamento Vasco fueron presentadas por escrito que tuvo entrada en este Tribunal el 11 de octubre de 2001, en el que se solicitaba la desestimación de la cuestión. El Fiscal General del Estado presentó su escrito de alegaciones el 15 de octubre de 2001 y en él solicitaba la desestimación de la cuestión planteada, tras su acumulación a las cuestiones de inconstitucionalidad núm. 6292-2000, 1293-2001, 1433-2001, 1716-2001, 1885-2001 y 1903- 2001.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2002 la Sección Segunda de este Tribunal acordó oír al Fiscal General del Estado, al Abogado del Estado y a los representantes procesales del Parlamento y del Gobierno Vascos para que alegaran lo que estimaran conveniente sobre la posible extinción de esta cuestión de inconstitucionalidad como consecuencia de la carencia sobrevenida de objeto derivada de la STC 54/2002, de 27 de febrero, publicada en el Boletín Oficial del Estado de 3 de abril de 2002. Formularon alegaciones el Abogado del Estado, por escrito presentado el 4 de junio de 2002; el Letrado de los Servicios Jurídicos Centrales de la Administración de la Comunidad Autónoma del País Vasco, por escrito presentado el 31 de mayo de 2002; y el Fiscal General del Estado, por escrito presentado el 6 de junio de 2002. Todos ellos solicitaban que se dictara Auto por el que se declarara la extinción de la presente cuestión de inconstitucionalidad, dado que la Sentencia citada ya ha declarado la inconstitucionalidad parcial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Se desprende de forma evidente del Auto de planteamiento de la cuestión y de la providencia por la que el órgano judicial abrió el trámite de audiencia previsto en el art.  35.2 LOTC, que la cuestión se limita a plantear la duda de constitucionalidad de la nueva redacción que el citado artículo único de la Ley vasca 11/1998 dio al párrafo primero del apartado 1 del artículo único de la Ley del Parlamento Vasco 3/1997, de 25 de abril, por la que se determina la participación de la comunidad en las plusvalías generadas por la acción urbanística. Así pues, resulta patente que el único inciso que constituye el objeto de esta cuestión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Una argumentación sustancialmente idéntica a la de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se ha producido la extinción sobrevenida de este proceso como consecuencia de la desaparición sobrevenida de su objeto.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 Es esta extinción procesal una figura "cuya integración dentro de nuestro sistema de justicia constitucional resulta plenamente viable, pese al silencio de la LOTC, en razón de la virtualidad propia de los principios que inspiran la institución procesal"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4166-2001,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