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noviembre de 2001 fue registrado en este Tribunal oficio de fecha 30 de octubre de 2001, remitido por la Sala de lo Contencioso Administrativo (SeTribunal Superior de Justicia del País Vasco, al que se adjuntaba, entre otros testimonios, el del Auto del mismo órgano judicial, de 22 de octubre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 la Comisión de Gobierno del Ayuntamiento de Hernani, de 17 de mayo de 2000, por el que se desestimaba el recurso de reposición formulado contra la exigencia del pago del 10 por 100 de cesión de aprovechamiento contenida en la licencia de construcción de un edificio de seis viviendas en la calle Kardaberaz, núm. 24. Antes de dictar la Sentencia para resolver el recurso de apelación interpuesto contra la Sentencia de primera instancia, la Sala de lo Contencioso Administrativo (Sección Segunda) del Tribunal Superior de Justicia del País Vasco dictó providencia de 13 de septiembre de 2001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Cuarta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22 de octubre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5893-2001,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