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febrero de 2002 fue registrado en este Tribunal escrito de fde 2002, remitido por el Juzgado de lo Contencioso Administrativo núm. 1 de San Sebastián, al que se adjuntaba, entre otros testimonios, el del Auto del mismo órgano judicial, de 1 de febrero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la Resolución del Alcalde de San Sebastián, de 15 de diciembre de 2000, por la que se concedió licencia para la realización de proyecto de ejecución de estructura y cerramiento perimetral en patio de manzana en la calle Elcano, núm. 6, de San Sebastián, condicionada al pago de 3.358.720 pesetas en concepto de cesión del 10 por 100 del aprovechamiento urbanístico. Tramitado el recurso contencioso administrativo y antes de dictar sentencia, por Autos de 26 de noviembre de 2001 y de 17 de enero de 2002, el Juzgado acordó, de conformidad con lo dispuesto en el art. 35.2 LOTC, requerir a las partes y al Ministerio Fiscal para que formularan las alegaciones que tuvieran por convenientes sobre la pertinencia de plantear cuestión de inconstitucionalidad respecto del artículo único, apartado 1, párrafo primero, de la Ley del Parlamento Vasco 11/1998, por su posible contradicción con 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Juzgado de lo Contencioso Administrativo por el que se decide plantear la cuestión de inconstitucionalidad, tras la exposición sintética de la doctrina constitucional relativa a la competencia estatal para regular las condiciones básicas que garanticen la igualdad en el ejercicio del derecho de propiedad (art. 149.1.1 CE) y la autonómica sobre urbanismo contenida en las SSTC 61/1997, de 20 de marzo, y 164/2001, de 11 de julio, se argumenta que el artículo único de la Ley vasca 11/1998, aplicable al caso y de cuya validez depende el fallo que debe dictarse, no puede interpretarse como un desarrollo o complemento de lo regulado en el art. 14 de la Ley estatal 6/1998, de 13 de abril, sobre Régimen del Suelo y Valoraciones (LRSV) -dictado en ejercicio de la competencia que el art. 149.1.1 CE atribuye al Estado-, sino como una quiebra de la distinción establecida en ese precepto estatal entre los propietarios de suelo urbano con urbanización consolidada (que no tienen el deber de ceder) y de suelo urbano no consolidado por la urbanización (sobre los que sí recae el deber de cesión). En la medida en que el precepto legal autonómico no respeta la condición básica regulada en el precepto estatal, pues establece el mismo deber de cesión de aprovechamiento para todos los propietarios del suelo urbano, considera el órgano judicial que existe base suficiente para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Cuarta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 Administrativo núm. 1 de San Sebastián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 de febrero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956-2002,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