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29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 2002 fue registrado en este Tribunal oficio de fecha 29 de enero de 2002, remitido por la Sala de lo Contencioso Administrativo (Sección Segunda) del Tribunal Superior de Justicia del País Vasco, al que se adjuntaba, entre otros testimonios, el del Auto del mismo órgano judicial, de 18 de enero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 la Comisión de Gobierno del Ayuntamiento de Hernani, de 9 de agosto de 1999, por el que se concedía licencia de construcción de un edificio de once viviendas y trasteros en la calle Florida, núms. 2 y 4, condicionada al pago del valor correspondiente a la cesión del 10 por 100 del aprovechamiento urbanístico, así como al pago del "canon de urbanización y equipamiento". Antes de dictar la Sentencia para resolver el recurso de apelación interpuesto contra la Sentencia de primera instancia, la Sala de lo Contencioso Administrativo (Sección Segunda) del Tribunal Superior de Justicia del País Vasco dictó providencias de 29 de marzo de 2001 y de 12 de diciembre de 2001 por las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en el recurso de apelación.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diez por ciento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Cuarta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septiembre de 2002 fue registrado en este Tribunal oficio de fecha 11 de septiembre de 2002, remitido por la Sala de lo Contencioso Administrativo (Sección Segunda) del Tribunal Superior de Justicia del País Vasco, al que se adjuntaba testimonio del Auto de dicho órgano judicial, de 12 de julio de 2002, por el que se acordaba declarar terminado el proceso a quo en relación con la pretensión dirigida contra la exigencia del pago del valor del 10 por 100 del aprovechamiento urbanístico, con respecto a la que se había producido la satisfacción extraprocesal regulada en el art. 76 de la Ley de la Jurisdicción Contencioso Administrativa, y continuar la tramitación del recurso para dictar Sentencia sólo sobre la cuestión referida al "canon de urbanización". Por providencia de 1 de octubre de 2002 la Sección Cuarta de este Tribunal acordó oír al Fiscal General del Estado sobre la incidencia que dicha terminación del proceso a quo hubiera de tener sobre la presente cuestión de inconstitucionalidad. El Fiscal General del Estado presentó su escrito el 11 de octubre de 2002. En él reitera que la cuestión de inconstitucionalidad perdió su objeto sobrevenidamente como consecuencia de la declaración parcial de inconstitucionalidad del precepto cuestionado por la STC 54/2002, de 27 de febrero, y alega que la terminación del proceso contencioso administrativo con respecto a la pretensión para la que era relevante dicho precepto determinaría, igualmente, la carencia sobrevenida de objeto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18 de enero de 2002 limita, implícita pero claramente,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Ningún pronunciamiento especial es necesario con respecto a la otra causa de inadmisión sobrevenidamente puesta de manifiesto por el Auto del órgano judicial que planteó la cuestión, de 12 de julio de 2002, que declara terminado el proceso a quo por satisfacción extraprocesal con respecto a la pretensión dirigida contra la exigencia del pago del 10 por 100 del aprovechamiento urbanístico, ya que es suficiente para declarar la inadmisión la causa que concurrió en primer lugar consistente en la declaración de inconstitucionalidad del precepto cuestionado.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633-2002,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